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201" w:leftChars="0" w:hanging="1201" w:hangingChars="272"/>
        <w:jc w:val="center"/>
        <w:rPr>
          <w:rFonts w:hint="eastAsia" w:ascii="宋体" w:hAnsi="宋体"/>
          <w:b/>
          <w:color w:val="000000"/>
          <w:sz w:val="44"/>
          <w:szCs w:val="44"/>
          <w:lang w:eastAsia="zh-CN"/>
        </w:rPr>
      </w:pPr>
      <w:bookmarkStart w:id="3" w:name="_GoBack"/>
      <w:bookmarkStart w:id="0" w:name="_Toc62727175"/>
      <w:r>
        <w:rPr>
          <w:rFonts w:hint="eastAsia" w:ascii="宋体" w:hAnsi="宋体"/>
          <w:b/>
          <w:color w:val="000000"/>
          <w:sz w:val="44"/>
          <w:szCs w:val="44"/>
        </w:rPr>
        <w:fldChar w:fldCharType="begin"/>
      </w:r>
      <w:r>
        <w:rPr>
          <w:rFonts w:hint="eastAsia" w:ascii="宋体" w:hAnsi="宋体"/>
          <w:b/>
          <w:color w:val="000000"/>
          <w:sz w:val="44"/>
          <w:szCs w:val="44"/>
        </w:rPr>
        <w:instrText xml:space="preserve"> AUTHOR  双创大楼施工树木移栽项目  \* MERGEFORMAT </w:instrText>
      </w:r>
      <w:r>
        <w:rPr>
          <w:rFonts w:hint="eastAsia" w:ascii="宋体" w:hAnsi="宋体"/>
          <w:b/>
          <w:color w:val="000000"/>
          <w:sz w:val="44"/>
          <w:szCs w:val="44"/>
        </w:rPr>
        <w:fldChar w:fldCharType="separate"/>
      </w:r>
      <w:r>
        <w:rPr>
          <w:rFonts w:hint="eastAsia" w:ascii="宋体" w:hAnsi="宋体"/>
          <w:b/>
          <w:color w:val="000000"/>
          <w:sz w:val="44"/>
          <w:szCs w:val="44"/>
          <w:lang w:val="en-US" w:eastAsia="zh-CN"/>
        </w:rPr>
        <w:t>歙县人民医</w:t>
      </w:r>
      <w:r>
        <w:rPr>
          <w:rFonts w:hint="eastAsia" w:ascii="宋体" w:hAnsi="宋体"/>
          <w:b/>
          <w:color w:val="000000"/>
          <w:sz w:val="44"/>
          <w:szCs w:val="44"/>
          <w:lang w:val="en-US" w:eastAsia="zh-CN"/>
        </w:rPr>
        <w:t>院</w:t>
      </w:r>
      <w:r>
        <w:rPr>
          <w:rFonts w:hint="eastAsia" w:ascii="宋体" w:hAnsi="宋体"/>
          <w:b/>
          <w:color w:val="000000"/>
          <w:sz w:val="44"/>
          <w:szCs w:val="44"/>
        </w:rPr>
        <w:t>网络安全等级保护测评</w:t>
      </w:r>
      <w:r>
        <w:rPr>
          <w:rFonts w:hint="eastAsia" w:ascii="宋体" w:hAnsi="宋体"/>
          <w:b/>
          <w:color w:val="000000"/>
          <w:sz w:val="44"/>
          <w:szCs w:val="44"/>
        </w:rPr>
        <w:fldChar w:fldCharType="end"/>
      </w:r>
      <w:r>
        <w:rPr>
          <w:rFonts w:hint="eastAsia" w:ascii="宋体" w:hAnsi="宋体"/>
          <w:b/>
          <w:color w:val="000000"/>
          <w:sz w:val="44"/>
          <w:szCs w:val="44"/>
        </w:rPr>
        <w:t>采购项目</w:t>
      </w:r>
      <w:r>
        <w:rPr>
          <w:rFonts w:hint="eastAsia" w:ascii="宋体" w:hAnsi="宋体"/>
          <w:b/>
          <w:color w:val="000000"/>
          <w:sz w:val="44"/>
          <w:szCs w:val="44"/>
          <w:lang w:eastAsia="zh-CN"/>
        </w:rPr>
        <w:t>采购需求</w:t>
      </w:r>
      <w:bookmarkEnd w:id="3"/>
    </w:p>
    <w:bookmarkEnd w:id="0"/>
    <w:p>
      <w:pPr>
        <w:pStyle w:val="8"/>
        <w:jc w:val="both"/>
        <w:rPr>
          <w:rFonts w:hint="eastAsia"/>
        </w:rPr>
      </w:pPr>
      <w:bookmarkStart w:id="1" w:name="_Toc62727176"/>
      <w:r>
        <w:rPr>
          <w:rFonts w:hint="eastAsia"/>
          <w:lang w:eastAsia="zh-CN"/>
        </w:rPr>
        <w:t>一、</w:t>
      </w:r>
      <w:r>
        <w:rPr>
          <w:rFonts w:hint="eastAsia"/>
        </w:rPr>
        <w:t>服务要求</w:t>
      </w:r>
      <w:bookmarkEnd w:id="1"/>
    </w:p>
    <w:p>
      <w:pPr>
        <w:numPr>
          <w:ilvl w:val="0"/>
          <w:numId w:val="1"/>
        </w:numPr>
        <w:spacing w:line="360" w:lineRule="auto"/>
        <w:contextualSpacing/>
        <w:rPr>
          <w:rFonts w:ascii="宋体" w:hAnsi="宋体" w:cs="仿宋"/>
          <w:kern w:val="0"/>
          <w:sz w:val="24"/>
          <w:szCs w:val="24"/>
        </w:rPr>
      </w:pPr>
      <w:r>
        <w:rPr>
          <w:rFonts w:hint="eastAsia" w:ascii="宋体" w:hAnsi="宋体"/>
          <w:sz w:val="24"/>
          <w:szCs w:val="24"/>
        </w:rPr>
        <w:t>本次测评服务范围如下表</w:t>
      </w:r>
      <w:r>
        <w:rPr>
          <w:rFonts w:hint="eastAsia" w:ascii="宋体" w:hAnsi="宋体" w:cs="仿宋"/>
          <w:kern w:val="0"/>
          <w:sz w:val="24"/>
          <w:szCs w:val="24"/>
        </w:rPr>
        <w:t>：</w:t>
      </w:r>
    </w:p>
    <w:tbl>
      <w:tblPr>
        <w:tblStyle w:val="5"/>
        <w:tblW w:w="7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3121"/>
        <w:gridCol w:w="2060"/>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2" w:type="dxa"/>
            <w:shd w:val="clear" w:color="000000" w:fill="F2F2F2"/>
            <w:noWrap w:val="0"/>
            <w:vAlign w:val="center"/>
          </w:tcPr>
          <w:p>
            <w:pPr>
              <w:widowControl/>
              <w:spacing w:line="360" w:lineRule="auto"/>
              <w:contextualSpacing/>
              <w:jc w:val="center"/>
              <w:rPr>
                <w:rFonts w:ascii="宋体" w:hAnsi="宋体" w:cs="宋体"/>
                <w:color w:val="000000"/>
                <w:kern w:val="0"/>
                <w:sz w:val="24"/>
                <w:szCs w:val="24"/>
              </w:rPr>
            </w:pPr>
            <w:r>
              <w:rPr>
                <w:rFonts w:ascii="宋体" w:hAnsi="宋体" w:cs="宋体"/>
                <w:color w:val="000000"/>
                <w:kern w:val="0"/>
                <w:sz w:val="24"/>
                <w:szCs w:val="24"/>
              </w:rPr>
              <w:t>序号</w:t>
            </w:r>
          </w:p>
        </w:tc>
        <w:tc>
          <w:tcPr>
            <w:tcW w:w="3121" w:type="dxa"/>
            <w:shd w:val="clear" w:color="000000" w:fill="F2F2F2"/>
            <w:noWrap w:val="0"/>
            <w:vAlign w:val="center"/>
          </w:tcPr>
          <w:p>
            <w:pPr>
              <w:widowControl/>
              <w:spacing w:line="360" w:lineRule="auto"/>
              <w:contextualSpacing/>
              <w:jc w:val="center"/>
              <w:rPr>
                <w:rFonts w:ascii="宋体" w:hAnsi="宋体" w:cs="宋体"/>
                <w:color w:val="000000"/>
                <w:kern w:val="0"/>
                <w:sz w:val="24"/>
                <w:szCs w:val="24"/>
              </w:rPr>
            </w:pPr>
            <w:r>
              <w:rPr>
                <w:rFonts w:ascii="宋体" w:hAnsi="宋体" w:cs="宋体"/>
                <w:color w:val="000000"/>
                <w:kern w:val="0"/>
                <w:sz w:val="24"/>
                <w:szCs w:val="24"/>
              </w:rPr>
              <w:t>系统名称</w:t>
            </w:r>
          </w:p>
        </w:tc>
        <w:tc>
          <w:tcPr>
            <w:tcW w:w="2060" w:type="dxa"/>
            <w:shd w:val="clear" w:color="000000" w:fill="F2F2F2"/>
            <w:noWrap w:val="0"/>
            <w:vAlign w:val="center"/>
          </w:tcPr>
          <w:p>
            <w:pPr>
              <w:widowControl/>
              <w:spacing w:line="360" w:lineRule="auto"/>
              <w:contextualSpacing/>
              <w:jc w:val="center"/>
              <w:rPr>
                <w:rFonts w:ascii="宋体" w:hAnsi="宋体" w:cs="宋体"/>
                <w:color w:val="000000"/>
                <w:kern w:val="0"/>
                <w:sz w:val="24"/>
                <w:szCs w:val="24"/>
              </w:rPr>
            </w:pPr>
            <w:r>
              <w:rPr>
                <w:rFonts w:ascii="宋体" w:hAnsi="宋体" w:cs="宋体"/>
                <w:color w:val="000000"/>
                <w:kern w:val="0"/>
                <w:sz w:val="24"/>
                <w:szCs w:val="24"/>
              </w:rPr>
              <w:t>安全保护等级</w:t>
            </w:r>
          </w:p>
        </w:tc>
        <w:tc>
          <w:tcPr>
            <w:tcW w:w="1513" w:type="dxa"/>
            <w:shd w:val="clear" w:color="000000" w:fill="F2F2F2"/>
            <w:noWrap w:val="0"/>
            <w:vAlign w:val="center"/>
          </w:tcPr>
          <w:p>
            <w:pPr>
              <w:widowControl/>
              <w:spacing w:line="360" w:lineRule="auto"/>
              <w:contextualSpacing/>
              <w:jc w:val="center"/>
              <w:rPr>
                <w:rFonts w:hint="eastAsia" w:ascii="宋体" w:hAnsi="宋体" w:cs="宋体"/>
                <w:color w:val="000000"/>
                <w:kern w:val="0"/>
                <w:sz w:val="24"/>
                <w:szCs w:val="24"/>
              </w:rPr>
            </w:pPr>
            <w:r>
              <w:rPr>
                <w:rFonts w:hint="eastAsia" w:ascii="宋体" w:hAnsi="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2" w:type="dxa"/>
            <w:noWrap w:val="0"/>
            <w:vAlign w:val="center"/>
          </w:tcPr>
          <w:p>
            <w:pPr>
              <w:widowControl/>
              <w:spacing w:line="360" w:lineRule="auto"/>
              <w:contextualSpacing/>
              <w:jc w:val="center"/>
              <w:rPr>
                <w:rFonts w:ascii="宋体" w:hAnsi="宋体" w:cs="宋体"/>
                <w:color w:val="000000"/>
                <w:kern w:val="0"/>
                <w:sz w:val="24"/>
                <w:szCs w:val="24"/>
              </w:rPr>
            </w:pPr>
            <w:r>
              <w:rPr>
                <w:rFonts w:ascii="宋体" w:hAnsi="宋体" w:cs="宋体"/>
                <w:color w:val="000000"/>
                <w:kern w:val="0"/>
                <w:sz w:val="24"/>
                <w:szCs w:val="24"/>
              </w:rPr>
              <w:t>1</w:t>
            </w:r>
          </w:p>
        </w:tc>
        <w:tc>
          <w:tcPr>
            <w:tcW w:w="3121" w:type="dxa"/>
            <w:noWrap w:val="0"/>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面向患者服务系统</w:t>
            </w:r>
          </w:p>
        </w:tc>
        <w:tc>
          <w:tcPr>
            <w:tcW w:w="2060" w:type="dxa"/>
            <w:noWrap w:val="0"/>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lang w:val="zh-TW"/>
              </w:rPr>
              <w:t>级</w:t>
            </w:r>
          </w:p>
        </w:tc>
        <w:tc>
          <w:tcPr>
            <w:tcW w:w="1513" w:type="dxa"/>
            <w:noWrap w:val="0"/>
            <w:vAlign w:val="center"/>
          </w:tcPr>
          <w:p>
            <w:pPr>
              <w:widowControl/>
              <w:spacing w:line="360" w:lineRule="auto"/>
              <w:contextualSpacing/>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2" w:type="dxa"/>
            <w:noWrap w:val="0"/>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3121" w:type="dxa"/>
            <w:noWrap w:val="0"/>
            <w:vAlign w:val="center"/>
          </w:tcPr>
          <w:p>
            <w:pPr>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集成平台及数据中心</w:t>
            </w:r>
          </w:p>
        </w:tc>
        <w:tc>
          <w:tcPr>
            <w:tcW w:w="2060" w:type="dxa"/>
            <w:noWrap w:val="0"/>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lang w:val="zh-TW"/>
              </w:rPr>
              <w:t>级</w:t>
            </w:r>
          </w:p>
        </w:tc>
        <w:tc>
          <w:tcPr>
            <w:tcW w:w="1513" w:type="dxa"/>
            <w:noWrap w:val="0"/>
            <w:vAlign w:val="center"/>
          </w:tcPr>
          <w:p>
            <w:pPr>
              <w:widowControl/>
              <w:spacing w:line="360" w:lineRule="auto"/>
              <w:contextualSpacing/>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2" w:type="dxa"/>
            <w:noWrap w:val="0"/>
            <w:vAlign w:val="center"/>
          </w:tcPr>
          <w:p>
            <w:pPr>
              <w:widowControl/>
              <w:spacing w:line="360" w:lineRule="auto"/>
              <w:contextualSpacing/>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3121" w:type="dxa"/>
            <w:noWrap w:val="0"/>
            <w:vAlign w:val="center"/>
          </w:tcPr>
          <w:p>
            <w:pPr>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医院网络支撑系统</w:t>
            </w:r>
          </w:p>
        </w:tc>
        <w:tc>
          <w:tcPr>
            <w:tcW w:w="2060" w:type="dxa"/>
            <w:noWrap w:val="0"/>
            <w:vAlign w:val="center"/>
          </w:tcPr>
          <w:p>
            <w:pPr>
              <w:widowControl/>
              <w:spacing w:line="360" w:lineRule="auto"/>
              <w:contextualSpacing/>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二级</w:t>
            </w:r>
          </w:p>
        </w:tc>
        <w:tc>
          <w:tcPr>
            <w:tcW w:w="1513" w:type="dxa"/>
            <w:noWrap w:val="0"/>
            <w:vAlign w:val="center"/>
          </w:tcPr>
          <w:p>
            <w:pPr>
              <w:widowControl/>
              <w:spacing w:line="360" w:lineRule="auto"/>
              <w:contextualSpacing/>
              <w:jc w:val="center"/>
              <w:rPr>
                <w:rFonts w:ascii="宋体" w:hAnsi="宋体" w:cs="宋体"/>
                <w:color w:val="000000"/>
                <w:kern w:val="0"/>
                <w:sz w:val="24"/>
                <w:szCs w:val="24"/>
              </w:rPr>
            </w:pPr>
          </w:p>
        </w:tc>
      </w:tr>
    </w:tbl>
    <w:p>
      <w:pPr>
        <w:numPr>
          <w:ilvl w:val="0"/>
          <w:numId w:val="0"/>
        </w:numPr>
        <w:spacing w:before="99" w:beforeLines="30" w:line="500" w:lineRule="exact"/>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具体技术要求</w:t>
      </w:r>
    </w:p>
    <w:p>
      <w:pPr>
        <w:numPr>
          <w:ilvl w:val="0"/>
          <w:numId w:val="0"/>
        </w:numPr>
        <w:spacing w:before="99" w:beforeLines="30" w:line="50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val="en-US" w:eastAsia="zh-CN"/>
        </w:rPr>
        <w:t>2.1</w:t>
      </w:r>
      <w:r>
        <w:rPr>
          <w:rFonts w:ascii="宋体" w:hAnsi="宋体" w:eastAsia="宋体" w:cs="宋体"/>
          <w:bCs/>
          <w:szCs w:val="21"/>
        </w:rPr>
        <w:t>定级备案</w:t>
      </w:r>
      <w:r>
        <w:rPr>
          <w:rFonts w:hint="eastAsia" w:ascii="宋体" w:hAnsi="宋体" w:eastAsia="宋体" w:cs="宋体"/>
          <w:bCs/>
          <w:szCs w:val="21"/>
          <w:lang w:eastAsia="zh-CN"/>
        </w:rPr>
        <w:t>：</w:t>
      </w:r>
      <w:r>
        <w:rPr>
          <w:rFonts w:ascii="宋体" w:hAnsi="宋体" w:eastAsia="宋体" w:cs="宋体"/>
          <w:bCs/>
          <w:szCs w:val="21"/>
        </w:rPr>
        <w:t>协助采购方各重要信息系统在公安机关网安部门完成定级备案工作，交付定级报告、专家评审意见表和备案表等内容，并取得相应系统的备案证明</w:t>
      </w:r>
      <w:r>
        <w:rPr>
          <w:rFonts w:hint="eastAsia" w:ascii="宋体" w:hAnsi="宋体" w:eastAsia="宋体" w:cs="宋体"/>
          <w:bCs/>
          <w:szCs w:val="21"/>
          <w:lang w:eastAsia="zh-CN"/>
        </w:rPr>
        <w:t>；</w:t>
      </w:r>
    </w:p>
    <w:p>
      <w:pPr>
        <w:numPr>
          <w:ilvl w:val="0"/>
          <w:numId w:val="0"/>
        </w:numPr>
        <w:spacing w:before="99" w:beforeLines="30" w:line="500" w:lineRule="exact"/>
        <w:ind w:firstLine="420" w:firstLineChars="200"/>
        <w:rPr>
          <w:rFonts w:ascii="宋体" w:hAnsi="宋体" w:eastAsia="宋体" w:cs="宋体"/>
          <w:bCs/>
          <w:szCs w:val="21"/>
        </w:rPr>
      </w:pPr>
      <w:r>
        <w:rPr>
          <w:rFonts w:hint="eastAsia" w:ascii="宋体" w:hAnsi="宋体" w:cs="宋体"/>
          <w:bCs/>
          <w:szCs w:val="21"/>
          <w:lang w:val="en-US" w:eastAsia="zh-CN"/>
        </w:rPr>
        <w:t>2.2</w:t>
      </w:r>
      <w:r>
        <w:rPr>
          <w:rFonts w:ascii="宋体" w:hAnsi="宋体" w:eastAsia="宋体" w:cs="宋体"/>
          <w:bCs/>
          <w:szCs w:val="21"/>
        </w:rPr>
        <w:t>等级保护测评</w:t>
      </w:r>
      <w:r>
        <w:rPr>
          <w:rFonts w:hint="eastAsia" w:ascii="宋体" w:hAnsi="宋体" w:eastAsia="宋体" w:cs="宋体"/>
          <w:bCs/>
          <w:szCs w:val="21"/>
          <w:lang w:eastAsia="zh-CN"/>
        </w:rPr>
        <w:t>：</w:t>
      </w:r>
      <w:r>
        <w:rPr>
          <w:rFonts w:ascii="宋体" w:hAnsi="宋体" w:eastAsia="宋体" w:cs="宋体"/>
          <w:bCs/>
          <w:szCs w:val="21"/>
        </w:rPr>
        <w:t>依据《信息安全技术 网络安全等级保护基本要求》（GB/T 22239-2019）、《信息安全技术 网络安全等级保护测评要求》（GB/T 28448-2019）等标准规范，结合ISO/IEC 27001、ISO/IEC 20000等行业最佳实践对各采购方重要信息系统开展等级保护测评，内容包括：</w:t>
      </w:r>
    </w:p>
    <w:p>
      <w:pPr>
        <w:numPr>
          <w:ilvl w:val="0"/>
          <w:numId w:val="0"/>
        </w:numPr>
        <w:spacing w:before="99" w:beforeLines="30" w:line="500" w:lineRule="exact"/>
        <w:ind w:firstLine="420" w:firstLineChars="200"/>
        <w:rPr>
          <w:rFonts w:ascii="宋体" w:hAnsi="宋体" w:eastAsia="宋体" w:cs="宋体"/>
          <w:bCs/>
          <w:szCs w:val="21"/>
        </w:rPr>
      </w:pPr>
      <w:r>
        <w:rPr>
          <w:rFonts w:hint="eastAsia" w:ascii="宋体" w:hAnsi="宋体" w:eastAsia="宋体" w:cs="宋体"/>
          <w:bCs/>
          <w:szCs w:val="21"/>
          <w:lang w:val="en-US" w:eastAsia="zh-CN"/>
        </w:rPr>
        <w:t>1）</w:t>
      </w:r>
      <w:r>
        <w:rPr>
          <w:rFonts w:ascii="宋体" w:hAnsi="宋体" w:eastAsia="宋体" w:cs="宋体"/>
          <w:bCs/>
          <w:szCs w:val="21"/>
        </w:rPr>
        <w:t>等级保护测评：包括安全管理制度、安全管理机构、安全管理人员、安全建设管理、安全运维管理及安全物理环境、安全计算环境、安全区域边界、安全通信网络、安全管理中心共十个方面的安全测评；</w:t>
      </w:r>
    </w:p>
    <w:p>
      <w:pPr>
        <w:numPr>
          <w:ilvl w:val="0"/>
          <w:numId w:val="0"/>
        </w:numPr>
        <w:spacing w:before="99" w:beforeLines="30" w:line="500" w:lineRule="exact"/>
        <w:ind w:firstLine="420" w:firstLineChars="200"/>
        <w:rPr>
          <w:rFonts w:ascii="宋体" w:hAnsi="宋体" w:eastAsia="宋体" w:cs="宋体"/>
          <w:bCs/>
          <w:szCs w:val="21"/>
        </w:rPr>
      </w:pPr>
      <w:r>
        <w:rPr>
          <w:rFonts w:ascii="宋体" w:hAnsi="宋体" w:eastAsia="宋体" w:cs="宋体"/>
          <w:bCs/>
          <w:szCs w:val="21"/>
        </w:rPr>
        <w:t>2</w:t>
      </w:r>
      <w:r>
        <w:rPr>
          <w:rFonts w:hint="eastAsia" w:ascii="宋体" w:hAnsi="宋体" w:cs="宋体"/>
          <w:bCs/>
          <w:szCs w:val="21"/>
          <w:lang w:eastAsia="zh-CN"/>
        </w:rPr>
        <w:t>）</w:t>
      </w:r>
      <w:r>
        <w:rPr>
          <w:rFonts w:ascii="宋体" w:hAnsi="宋体" w:eastAsia="宋体" w:cs="宋体"/>
          <w:bCs/>
          <w:szCs w:val="21"/>
        </w:rPr>
        <w:t>工具测试：针对系统在测评工作结束后，按采购方需求进行定期（自合同签订之日起之后</w:t>
      </w:r>
      <w:r>
        <w:rPr>
          <w:rFonts w:hint="eastAsia" w:ascii="宋体" w:hAnsi="宋体" w:eastAsia="宋体" w:cs="宋体"/>
          <w:bCs/>
          <w:szCs w:val="21"/>
        </w:rPr>
        <w:t>两</w:t>
      </w:r>
      <w:r>
        <w:rPr>
          <w:rFonts w:ascii="宋体" w:hAnsi="宋体" w:eastAsia="宋体" w:cs="宋体"/>
          <w:bCs/>
          <w:szCs w:val="21"/>
        </w:rPr>
        <w:t>年内，每年至少</w:t>
      </w:r>
      <w:r>
        <w:rPr>
          <w:rFonts w:hint="eastAsia" w:ascii="宋体" w:hAnsi="宋体" w:eastAsia="宋体" w:cs="宋体"/>
          <w:bCs/>
          <w:szCs w:val="21"/>
          <w:lang w:val="en-US" w:eastAsia="zh-CN"/>
        </w:rPr>
        <w:t>一</w:t>
      </w:r>
      <w:r>
        <w:rPr>
          <w:rFonts w:ascii="宋体" w:hAnsi="宋体" w:eastAsia="宋体" w:cs="宋体"/>
          <w:bCs/>
          <w:szCs w:val="21"/>
        </w:rPr>
        <w:t>次）的漏洞扫描、渗透测试等安全服务工作；</w:t>
      </w:r>
    </w:p>
    <w:p>
      <w:pPr>
        <w:numPr>
          <w:ilvl w:val="0"/>
          <w:numId w:val="0"/>
        </w:numPr>
        <w:spacing w:before="99" w:beforeLines="30" w:line="500" w:lineRule="exact"/>
        <w:ind w:firstLine="420" w:firstLineChars="200"/>
        <w:rPr>
          <w:rFonts w:ascii="宋体" w:hAnsi="宋体" w:eastAsia="宋体" w:cs="宋体"/>
          <w:bCs/>
          <w:szCs w:val="21"/>
        </w:rPr>
      </w:pPr>
      <w:r>
        <w:rPr>
          <w:rFonts w:ascii="宋体" w:hAnsi="宋体" w:eastAsia="宋体" w:cs="宋体"/>
          <w:bCs/>
          <w:szCs w:val="21"/>
        </w:rPr>
        <w:t>3</w:t>
      </w:r>
      <w:r>
        <w:rPr>
          <w:rFonts w:hint="eastAsia" w:ascii="宋体" w:hAnsi="宋体" w:cs="宋体"/>
          <w:bCs/>
          <w:szCs w:val="21"/>
          <w:lang w:eastAsia="zh-CN"/>
        </w:rPr>
        <w:t>）</w:t>
      </w:r>
      <w:r>
        <w:rPr>
          <w:rFonts w:ascii="宋体" w:hAnsi="宋体" w:eastAsia="宋体" w:cs="宋体"/>
          <w:bCs/>
          <w:szCs w:val="21"/>
        </w:rPr>
        <w:t>整改建议：投标人应根据现场测评中发现的问题，分析与等级保护基本要求、ISO/IEC 27001、ISO/IEC 20000等行业最佳实践之间的差距，按照网络安全等级保护标准要求提出安全整改报告；</w:t>
      </w:r>
    </w:p>
    <w:p>
      <w:pPr>
        <w:numPr>
          <w:ilvl w:val="0"/>
          <w:numId w:val="0"/>
        </w:numPr>
        <w:spacing w:before="99" w:beforeLines="30" w:line="500" w:lineRule="exact"/>
        <w:ind w:firstLine="420" w:firstLineChars="200"/>
        <w:rPr>
          <w:rFonts w:ascii="宋体" w:hAnsi="宋体" w:eastAsia="宋体" w:cs="宋体"/>
          <w:bCs/>
          <w:szCs w:val="21"/>
        </w:rPr>
      </w:pPr>
      <w:r>
        <w:rPr>
          <w:rFonts w:ascii="宋体" w:hAnsi="宋体" w:eastAsia="宋体" w:cs="宋体"/>
          <w:bCs/>
          <w:szCs w:val="21"/>
        </w:rPr>
        <w:t>4</w:t>
      </w:r>
      <w:r>
        <w:rPr>
          <w:rFonts w:hint="eastAsia" w:ascii="宋体" w:hAnsi="宋体" w:cs="宋体"/>
          <w:bCs/>
          <w:szCs w:val="21"/>
          <w:lang w:eastAsia="zh-CN"/>
        </w:rPr>
        <w:t>）</w:t>
      </w:r>
      <w:r>
        <w:rPr>
          <w:rFonts w:ascii="宋体" w:hAnsi="宋体" w:eastAsia="宋体" w:cs="宋体"/>
          <w:bCs/>
          <w:szCs w:val="21"/>
        </w:rPr>
        <w:t>编制测评报告：完成上述测评工作和整改加固实施后，投标人最后出具符合公安机关要求的各信息系统网络安全等级保护测评报告。</w:t>
      </w:r>
    </w:p>
    <w:p>
      <w:pPr>
        <w:numPr>
          <w:ilvl w:val="0"/>
          <w:numId w:val="0"/>
        </w:numPr>
        <w:spacing w:before="99" w:beforeLines="30" w:line="500" w:lineRule="exact"/>
        <w:ind w:firstLine="420" w:firstLineChars="200"/>
        <w:rPr>
          <w:rFonts w:ascii="宋体" w:hAnsi="宋体" w:eastAsia="宋体" w:cs="宋体"/>
          <w:bCs/>
          <w:color w:val="FF0000"/>
          <w:szCs w:val="21"/>
        </w:rPr>
      </w:pPr>
      <w:r>
        <w:rPr>
          <w:rFonts w:ascii="宋体" w:hAnsi="宋体" w:eastAsia="宋体" w:cs="宋体"/>
          <w:bCs/>
          <w:szCs w:val="21"/>
        </w:rPr>
        <w:t>5</w:t>
      </w:r>
      <w:r>
        <w:rPr>
          <w:rFonts w:hint="eastAsia" w:ascii="宋体" w:hAnsi="宋体" w:cs="宋体"/>
          <w:bCs/>
          <w:szCs w:val="21"/>
          <w:lang w:eastAsia="zh-CN"/>
        </w:rPr>
        <w:t>）</w:t>
      </w:r>
      <w:r>
        <w:rPr>
          <w:rFonts w:ascii="宋体" w:hAnsi="宋体" w:eastAsia="宋体" w:cs="宋体"/>
          <w:bCs/>
          <w:szCs w:val="21"/>
        </w:rPr>
        <w:t>对于后续相关服务，</w:t>
      </w:r>
      <w:r>
        <w:rPr>
          <w:rFonts w:ascii="宋体" w:hAnsi="宋体" w:eastAsia="宋体" w:cs="宋体"/>
          <w:b/>
          <w:bCs w:val="0"/>
          <w:color w:val="000000" w:themeColor="text1"/>
          <w:szCs w:val="21"/>
          <w14:textFill>
            <w14:solidFill>
              <w14:schemeClr w14:val="tx1"/>
            </w14:solidFill>
          </w14:textFill>
        </w:rPr>
        <w:t>投标人需在投标文件中提供响应承诺函。</w:t>
      </w:r>
    </w:p>
    <w:p>
      <w:pPr>
        <w:numPr>
          <w:ilvl w:val="0"/>
          <w:numId w:val="0"/>
        </w:numPr>
        <w:spacing w:before="99" w:beforeLines="30" w:line="360" w:lineRule="auto"/>
        <w:ind w:firstLine="420" w:firstLineChars="200"/>
        <w:rPr>
          <w:rFonts w:hint="eastAsia" w:ascii="宋体" w:hAnsi="宋体" w:eastAsia="宋体" w:cs="宋体"/>
          <w:bCs/>
          <w:szCs w:val="21"/>
          <w:lang w:val="en-US" w:eastAsia="zh-CN"/>
        </w:rPr>
      </w:pPr>
      <w:r>
        <w:rPr>
          <w:rFonts w:hint="eastAsia" w:ascii="宋体" w:hAnsi="宋体" w:cs="宋体"/>
          <w:bCs/>
          <w:szCs w:val="21"/>
          <w:lang w:val="en-US" w:eastAsia="zh-CN"/>
        </w:rPr>
        <w:t>2.3</w:t>
      </w:r>
      <w:r>
        <w:rPr>
          <w:rFonts w:ascii="宋体" w:hAnsi="宋体" w:eastAsia="宋体" w:cs="宋体"/>
          <w:bCs/>
          <w:szCs w:val="21"/>
        </w:rPr>
        <w:t>等级保护安全培训</w:t>
      </w:r>
      <w:r>
        <w:rPr>
          <w:rFonts w:hint="eastAsia" w:ascii="宋体" w:hAnsi="宋体" w:eastAsia="宋体" w:cs="宋体"/>
          <w:bCs/>
          <w:szCs w:val="21"/>
          <w:lang w:eastAsia="zh-CN"/>
        </w:rPr>
        <w:t>：</w:t>
      </w:r>
      <w:r>
        <w:rPr>
          <w:rFonts w:ascii="宋体" w:hAnsi="宋体" w:eastAsia="宋体" w:cs="宋体"/>
          <w:bCs/>
          <w:szCs w:val="21"/>
        </w:rPr>
        <w:t>投标人需要为采购方提供不少于1次的信息安全技术培训，确保管理人员和技术人员掌握关于信息系统等级保护相关规范、信息安全策略、信息保密制度，信息安全管理制度和相关流程等</w:t>
      </w:r>
      <w:r>
        <w:rPr>
          <w:rFonts w:hint="eastAsia" w:ascii="宋体" w:hAnsi="宋体" w:eastAsia="宋体" w:cs="宋体"/>
          <w:bCs/>
          <w:szCs w:val="21"/>
          <w:lang w:eastAsia="zh-CN"/>
        </w:rPr>
        <w:t>。</w:t>
      </w:r>
    </w:p>
    <w:p>
      <w:pPr>
        <w:numPr>
          <w:ilvl w:val="0"/>
          <w:numId w:val="0"/>
        </w:numPr>
        <w:spacing w:before="99" w:beforeLines="30" w:line="360" w:lineRule="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项目实施要求</w:t>
      </w:r>
    </w:p>
    <w:p>
      <w:pPr>
        <w:numPr>
          <w:ilvl w:val="0"/>
          <w:numId w:val="0"/>
        </w:numPr>
        <w:spacing w:before="99" w:beforeLines="30" w:line="360" w:lineRule="auto"/>
        <w:ind w:firstLine="420" w:firstLineChars="200"/>
        <w:rPr>
          <w:rFonts w:hint="eastAsia" w:ascii="宋体" w:hAnsi="宋体" w:eastAsia="宋体" w:cs="宋体"/>
          <w:bCs/>
          <w:szCs w:val="21"/>
          <w:lang w:eastAsia="zh-CN"/>
        </w:rPr>
      </w:pPr>
      <w:r>
        <w:rPr>
          <w:rFonts w:hint="eastAsia" w:ascii="宋体" w:hAnsi="宋体" w:eastAsia="宋体" w:cs="宋体"/>
          <w:bCs/>
          <w:szCs w:val="21"/>
          <w:lang w:val="en-US" w:eastAsia="zh-CN"/>
        </w:rPr>
        <w:t>3.1</w:t>
      </w:r>
      <w:r>
        <w:rPr>
          <w:rFonts w:ascii="宋体" w:hAnsi="宋体" w:eastAsia="宋体" w:cs="宋体"/>
          <w:bCs/>
          <w:szCs w:val="21"/>
        </w:rPr>
        <w:t>客观性和公正性要求</w:t>
      </w:r>
      <w:r>
        <w:rPr>
          <w:rFonts w:hint="eastAsia" w:ascii="宋体" w:hAnsi="宋体" w:eastAsia="宋体" w:cs="宋体"/>
          <w:bCs/>
          <w:szCs w:val="21"/>
          <w:lang w:eastAsia="zh-CN"/>
        </w:rPr>
        <w:t>：</w:t>
      </w:r>
      <w:r>
        <w:rPr>
          <w:rFonts w:ascii="宋体" w:hAnsi="宋体" w:eastAsia="宋体" w:cs="宋体"/>
          <w:bCs/>
          <w:szCs w:val="21"/>
        </w:rPr>
        <w:t>按照评估双方相互认可的评估方案，基于明确定义的测评方式和解释，实施评估活动</w:t>
      </w:r>
      <w:r>
        <w:rPr>
          <w:rFonts w:hint="eastAsia" w:ascii="宋体" w:hAnsi="宋体" w:eastAsia="宋体" w:cs="宋体"/>
          <w:bCs/>
          <w:szCs w:val="21"/>
          <w:lang w:eastAsia="zh-CN"/>
        </w:rPr>
        <w:t>。</w:t>
      </w:r>
    </w:p>
    <w:p>
      <w:pPr>
        <w:numPr>
          <w:ilvl w:val="0"/>
          <w:numId w:val="0"/>
        </w:numPr>
        <w:spacing w:before="99" w:beforeLines="30" w:line="360" w:lineRule="auto"/>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3.2 </w:t>
      </w:r>
      <w:r>
        <w:rPr>
          <w:rFonts w:ascii="宋体" w:hAnsi="宋体" w:eastAsia="宋体" w:cs="宋体"/>
          <w:bCs/>
          <w:szCs w:val="21"/>
        </w:rPr>
        <w:t>保密要求</w:t>
      </w:r>
      <w:r>
        <w:rPr>
          <w:rFonts w:hint="eastAsia" w:ascii="宋体" w:hAnsi="宋体" w:eastAsia="宋体" w:cs="宋体"/>
          <w:bCs/>
          <w:szCs w:val="21"/>
          <w:lang w:eastAsia="zh-CN"/>
        </w:rPr>
        <w:t>：</w:t>
      </w:r>
      <w:r>
        <w:rPr>
          <w:rFonts w:ascii="宋体" w:hAnsi="宋体" w:eastAsia="宋体" w:cs="宋体"/>
          <w:bCs/>
          <w:szCs w:val="21"/>
        </w:rPr>
        <w:t>在测评过程中，需严格遵循保密原则，对服务过程中涉及到的任何用户信息未经允许不向其他任何第三方泄漏，以及不得利用这些信息损害采购方利益。</w:t>
      </w:r>
      <w:r>
        <w:rPr>
          <w:rFonts w:hint="eastAsia" w:ascii="宋体" w:hAnsi="宋体" w:eastAsia="宋体" w:cs="宋体"/>
          <w:bCs/>
          <w:szCs w:val="21"/>
          <w:lang w:eastAsia="zh-CN"/>
        </w:rPr>
        <w:t>（</w:t>
      </w:r>
      <w:r>
        <w:rPr>
          <w:rFonts w:hint="eastAsia" w:ascii="宋体" w:hAnsi="宋体" w:eastAsia="宋体" w:cs="宋体"/>
          <w:b/>
          <w:bCs w:val="0"/>
          <w:szCs w:val="21"/>
          <w:lang w:eastAsia="zh-CN"/>
        </w:rPr>
        <w:t>投标时须提供加盖公章的</w:t>
      </w:r>
      <w:r>
        <w:rPr>
          <w:rFonts w:ascii="宋体" w:hAnsi="宋体" w:eastAsia="宋体" w:cs="宋体"/>
          <w:b/>
          <w:bCs w:val="0"/>
          <w:szCs w:val="21"/>
        </w:rPr>
        <w:t>承诺函</w:t>
      </w:r>
      <w:r>
        <w:rPr>
          <w:rFonts w:hint="eastAsia" w:ascii="宋体" w:hAnsi="宋体" w:eastAsia="宋体" w:cs="宋体"/>
          <w:b/>
          <w:bCs w:val="0"/>
          <w:szCs w:val="21"/>
        </w:rPr>
        <w:t>原件</w:t>
      </w:r>
      <w:r>
        <w:rPr>
          <w:rFonts w:hint="eastAsia" w:ascii="宋体" w:hAnsi="宋体" w:eastAsia="宋体" w:cs="宋体"/>
          <w:b/>
          <w:bCs w:val="0"/>
          <w:szCs w:val="21"/>
          <w:lang w:eastAsia="zh-CN"/>
        </w:rPr>
        <w:t>装订至响应文件中</w:t>
      </w:r>
      <w:r>
        <w:rPr>
          <w:rFonts w:hint="eastAsia" w:ascii="宋体" w:hAnsi="宋体" w:eastAsia="宋体" w:cs="宋体"/>
          <w:bCs/>
          <w:szCs w:val="21"/>
          <w:lang w:eastAsia="zh-CN"/>
        </w:rPr>
        <w:t>）</w:t>
      </w:r>
    </w:p>
    <w:p>
      <w:pPr>
        <w:numPr>
          <w:ilvl w:val="0"/>
          <w:numId w:val="0"/>
        </w:numPr>
        <w:spacing w:before="99" w:beforeLines="30" w:line="360" w:lineRule="auto"/>
        <w:ind w:firstLine="420" w:firstLineChars="200"/>
        <w:rPr>
          <w:rFonts w:ascii="宋体" w:hAnsi="宋体" w:eastAsia="宋体" w:cs="宋体"/>
          <w:bCs/>
          <w:szCs w:val="21"/>
        </w:rPr>
      </w:pPr>
      <w:r>
        <w:rPr>
          <w:rFonts w:hint="eastAsia" w:ascii="宋体" w:hAnsi="宋体" w:eastAsia="宋体" w:cs="宋体"/>
          <w:bCs/>
          <w:szCs w:val="21"/>
          <w:lang w:val="en-US" w:eastAsia="zh-CN"/>
        </w:rPr>
        <w:t>3.3</w:t>
      </w:r>
      <w:r>
        <w:rPr>
          <w:rFonts w:ascii="宋体" w:hAnsi="宋体" w:eastAsia="宋体" w:cs="宋体"/>
          <w:bCs/>
          <w:szCs w:val="21"/>
        </w:rPr>
        <w:t>互动要求</w:t>
      </w:r>
      <w:r>
        <w:rPr>
          <w:rFonts w:hint="eastAsia" w:ascii="宋体" w:hAnsi="宋体" w:eastAsia="宋体" w:cs="宋体"/>
          <w:bCs/>
          <w:szCs w:val="21"/>
          <w:lang w:val="en-US" w:eastAsia="zh-CN"/>
        </w:rPr>
        <w:t>:</w:t>
      </w:r>
      <w:r>
        <w:rPr>
          <w:rFonts w:ascii="宋体" w:hAnsi="宋体" w:eastAsia="宋体" w:cs="宋体"/>
          <w:bCs/>
          <w:szCs w:val="21"/>
        </w:rPr>
        <w:t>在整个测评过程中，强调采购方的互动参与，每个阶段都能够及时根据采购方的要求和实际情况对测评的内容、方式做出相关调整，进而更好的进行风险评估工作。</w:t>
      </w:r>
    </w:p>
    <w:p>
      <w:pPr>
        <w:numPr>
          <w:ilvl w:val="0"/>
          <w:numId w:val="0"/>
        </w:numPr>
        <w:spacing w:before="99" w:beforeLines="30" w:line="500" w:lineRule="exact"/>
        <w:ind w:firstLine="420" w:firstLineChars="200"/>
        <w:rPr>
          <w:rFonts w:hint="eastAsia" w:ascii="宋体" w:hAnsi="宋体" w:cs="宋体"/>
          <w:bCs/>
          <w:szCs w:val="21"/>
          <w:lang w:eastAsia="zh-CN"/>
        </w:rPr>
      </w:pPr>
      <w:r>
        <w:rPr>
          <w:rFonts w:hint="eastAsia" w:ascii="宋体" w:hAnsi="宋体" w:eastAsia="宋体" w:cs="宋体"/>
          <w:bCs/>
          <w:szCs w:val="21"/>
          <w:lang w:val="en-US" w:eastAsia="zh-CN"/>
        </w:rPr>
        <w:t>3.4</w:t>
      </w:r>
      <w:r>
        <w:rPr>
          <w:rFonts w:ascii="宋体" w:hAnsi="宋体" w:eastAsia="宋体" w:cs="宋体"/>
          <w:bCs/>
          <w:szCs w:val="21"/>
        </w:rPr>
        <w:t>最小影响要求</w:t>
      </w:r>
      <w:r>
        <w:rPr>
          <w:rFonts w:hint="eastAsia" w:ascii="宋体" w:hAnsi="宋体" w:eastAsia="宋体" w:cs="宋体"/>
          <w:bCs/>
          <w:szCs w:val="21"/>
          <w:lang w:val="en-US" w:eastAsia="zh-CN"/>
        </w:rPr>
        <w:t>:</w:t>
      </w:r>
      <w:r>
        <w:rPr>
          <w:rFonts w:ascii="宋体" w:hAnsi="宋体" w:eastAsia="宋体" w:cs="宋体"/>
          <w:bCs/>
          <w:szCs w:val="21"/>
        </w:rPr>
        <w:t>测评工作应该尽可能小地影响系统和网络的正常运行，不能对业务的正常运行产生明显的影响（包括系统性能明显下降、网络阻塞、服务中断</w:t>
      </w:r>
      <w:r>
        <w:rPr>
          <w:rFonts w:hint="eastAsia" w:ascii="宋体" w:hAnsi="宋体" w:cs="宋体"/>
          <w:bCs/>
          <w:szCs w:val="21"/>
          <w:lang w:eastAsia="zh-CN"/>
        </w:rPr>
        <w:t>）。</w:t>
      </w:r>
    </w:p>
    <w:p>
      <w:pPr>
        <w:numPr>
          <w:ilvl w:val="0"/>
          <w:numId w:val="0"/>
        </w:numPr>
        <w:spacing w:before="99" w:beforeLines="30" w:line="500" w:lineRule="exact"/>
        <w:ind w:firstLine="420" w:firstLineChars="200"/>
        <w:rPr>
          <w:rFonts w:ascii="宋体" w:hAnsi="宋体" w:eastAsia="宋体" w:cs="宋体"/>
          <w:bCs/>
          <w:szCs w:val="21"/>
        </w:rPr>
      </w:pPr>
      <w:r>
        <w:rPr>
          <w:rFonts w:hint="eastAsia" w:ascii="宋体" w:hAnsi="宋体" w:eastAsia="宋体" w:cs="宋体"/>
          <w:bCs/>
          <w:szCs w:val="21"/>
          <w:lang w:val="en-US" w:eastAsia="zh-CN"/>
        </w:rPr>
        <w:t>3.5</w:t>
      </w:r>
      <w:r>
        <w:rPr>
          <w:rFonts w:ascii="宋体" w:hAnsi="宋体" w:eastAsia="宋体" w:cs="宋体"/>
          <w:bCs/>
          <w:szCs w:val="21"/>
        </w:rPr>
        <w:t>规范性要求</w:t>
      </w:r>
      <w:r>
        <w:rPr>
          <w:rFonts w:hint="eastAsia" w:ascii="宋体" w:hAnsi="宋体" w:eastAsia="宋体" w:cs="宋体"/>
          <w:bCs/>
          <w:szCs w:val="21"/>
          <w:lang w:val="en-US" w:eastAsia="zh-CN"/>
        </w:rPr>
        <w:t>:</w:t>
      </w:r>
      <w:r>
        <w:rPr>
          <w:rFonts w:ascii="宋体" w:hAnsi="宋体" w:eastAsia="宋体" w:cs="宋体"/>
          <w:bCs/>
          <w:szCs w:val="21"/>
        </w:rPr>
        <w:t>信息安全等级保护测评服务的实施必须由专业的测评服务人员依照规范的操作流程进行，对操作过程和结果要有相应的记录，并提供完整的服务报告。</w:t>
      </w:r>
    </w:p>
    <w:p>
      <w:pPr>
        <w:numPr>
          <w:ilvl w:val="0"/>
          <w:numId w:val="0"/>
        </w:numPr>
        <w:spacing w:before="99" w:beforeLines="30" w:line="500" w:lineRule="exact"/>
        <w:ind w:firstLine="420" w:firstLineChars="200"/>
        <w:rPr>
          <w:rFonts w:ascii="宋体" w:hAnsi="宋体" w:eastAsia="宋体" w:cs="宋体"/>
          <w:bCs/>
          <w:szCs w:val="21"/>
        </w:rPr>
      </w:pPr>
      <w:r>
        <w:rPr>
          <w:rFonts w:hint="eastAsia" w:ascii="宋体" w:hAnsi="宋体" w:eastAsia="宋体" w:cs="宋体"/>
          <w:bCs/>
          <w:szCs w:val="21"/>
          <w:lang w:val="en-US" w:eastAsia="zh-CN"/>
        </w:rPr>
        <w:t>3.6</w:t>
      </w:r>
      <w:r>
        <w:rPr>
          <w:rFonts w:ascii="宋体" w:hAnsi="宋体" w:eastAsia="宋体" w:cs="宋体"/>
          <w:bCs/>
          <w:szCs w:val="21"/>
        </w:rPr>
        <w:t>质量保障要求</w:t>
      </w:r>
      <w:r>
        <w:rPr>
          <w:rFonts w:hint="eastAsia" w:ascii="宋体" w:hAnsi="宋体" w:eastAsia="宋体" w:cs="宋体"/>
          <w:bCs/>
          <w:szCs w:val="21"/>
          <w:lang w:val="en-US" w:eastAsia="zh-CN"/>
        </w:rPr>
        <w:t>:</w:t>
      </w:r>
      <w:r>
        <w:rPr>
          <w:rFonts w:ascii="宋体" w:hAnsi="宋体" w:eastAsia="宋体" w:cs="宋体"/>
          <w:bCs/>
          <w:szCs w:val="21"/>
        </w:rPr>
        <w:t>在整个测评过程中，须特别重视项目质量管理。项目的实施将严格按照项目实施方案和流程进行，并由项目协调小组从中监督，控制项目的进度和质量。</w:t>
      </w:r>
      <w:r>
        <w:rPr>
          <w:rFonts w:hint="eastAsia" w:ascii="宋体" w:hAnsi="宋体" w:eastAsia="宋体" w:cs="宋体"/>
          <w:b/>
          <w:bCs w:val="0"/>
          <w:color w:val="000000" w:themeColor="text1"/>
          <w:szCs w:val="21"/>
          <w:shd w:val="clear" w:color="FFFFFF" w:fill="D9D9D9"/>
          <w:lang w:eastAsia="zh-CN"/>
          <w14:textFill>
            <w14:solidFill>
              <w14:schemeClr w14:val="tx1"/>
            </w14:solidFill>
          </w14:textFill>
        </w:rPr>
        <w:t>（投标时须提供加盖公章的</w:t>
      </w:r>
      <w:r>
        <w:rPr>
          <w:rFonts w:ascii="宋体" w:hAnsi="宋体" w:eastAsia="宋体" w:cs="宋体"/>
          <w:b/>
          <w:bCs w:val="0"/>
          <w:color w:val="000000" w:themeColor="text1"/>
          <w:sz w:val="21"/>
          <w:szCs w:val="21"/>
          <w:shd w:val="clear" w:color="FFFFFF" w:fill="D9D9D9"/>
          <w14:textFill>
            <w14:solidFill>
              <w14:schemeClr w14:val="tx1"/>
            </w14:solidFill>
          </w14:textFill>
        </w:rPr>
        <w:t>承诺函</w:t>
      </w:r>
      <w:r>
        <w:rPr>
          <w:rFonts w:hint="eastAsia" w:ascii="宋体" w:hAnsi="宋体" w:eastAsia="宋体" w:cs="宋体"/>
          <w:b/>
          <w:bCs w:val="0"/>
          <w:color w:val="000000" w:themeColor="text1"/>
          <w:sz w:val="21"/>
          <w:szCs w:val="21"/>
          <w:shd w:val="clear" w:color="FFFFFF" w:fill="D9D9D9"/>
          <w14:textFill>
            <w14:solidFill>
              <w14:schemeClr w14:val="tx1"/>
            </w14:solidFill>
          </w14:textFill>
        </w:rPr>
        <w:t>原件</w:t>
      </w:r>
      <w:r>
        <w:rPr>
          <w:rFonts w:hint="eastAsia" w:ascii="宋体" w:hAnsi="宋体" w:eastAsia="宋体" w:cs="宋体"/>
          <w:b/>
          <w:bCs w:val="0"/>
          <w:color w:val="000000" w:themeColor="text1"/>
          <w:sz w:val="21"/>
          <w:szCs w:val="21"/>
          <w:shd w:val="clear" w:color="FFFFFF" w:fill="D9D9D9"/>
          <w:lang w:eastAsia="zh-CN"/>
          <w14:textFill>
            <w14:solidFill>
              <w14:schemeClr w14:val="tx1"/>
            </w14:solidFill>
          </w14:textFill>
        </w:rPr>
        <w:t>装订至响应文件中</w:t>
      </w:r>
      <w:r>
        <w:rPr>
          <w:rFonts w:hint="eastAsia" w:ascii="宋体" w:hAnsi="宋体" w:eastAsia="宋体" w:cs="宋体"/>
          <w:b/>
          <w:bCs w:val="0"/>
          <w:color w:val="000000" w:themeColor="text1"/>
          <w:szCs w:val="21"/>
          <w:shd w:val="clear" w:color="FFFFFF" w:fill="D9D9D9"/>
          <w:lang w:eastAsia="zh-CN"/>
          <w14:textFill>
            <w14:solidFill>
              <w14:schemeClr w14:val="tx1"/>
            </w14:solidFill>
          </w14:textFill>
        </w:rPr>
        <w:t>）</w:t>
      </w:r>
    </w:p>
    <w:p>
      <w:pPr>
        <w:numPr>
          <w:ilvl w:val="0"/>
          <w:numId w:val="0"/>
        </w:numPr>
        <w:spacing w:before="99" w:beforeLines="30" w:line="500" w:lineRule="exact"/>
        <w:ind w:firstLine="420" w:firstLineChars="200"/>
        <w:rPr>
          <w:rFonts w:hint="eastAsia" w:ascii="宋体" w:hAnsi="宋体" w:eastAsia="宋体" w:cs="宋体"/>
          <w:b/>
          <w:bCs w:val="0"/>
          <w:color w:val="000000" w:themeColor="text1"/>
          <w:szCs w:val="21"/>
          <w:shd w:val="clear" w:color="FFFFFF" w:fill="D9D9D9"/>
          <w:lang w:val="en-US" w:eastAsia="zh-CN"/>
          <w14:textFill>
            <w14:solidFill>
              <w14:schemeClr w14:val="tx1"/>
            </w14:solidFill>
          </w14:textFill>
        </w:rPr>
      </w:pPr>
      <w:r>
        <w:rPr>
          <w:rFonts w:hint="eastAsia" w:ascii="宋体" w:hAnsi="宋体" w:eastAsia="宋体" w:cs="宋体"/>
          <w:bCs/>
          <w:szCs w:val="21"/>
          <w:lang w:val="en-US" w:eastAsia="zh-CN"/>
        </w:rPr>
        <w:t>3.7</w:t>
      </w:r>
      <w:r>
        <w:rPr>
          <w:rFonts w:ascii="宋体" w:hAnsi="宋体" w:eastAsia="宋体" w:cs="宋体"/>
          <w:bCs/>
          <w:szCs w:val="21"/>
        </w:rPr>
        <w:t>项目团队要求</w:t>
      </w:r>
      <w:r>
        <w:rPr>
          <w:rFonts w:hint="eastAsia" w:ascii="宋体" w:hAnsi="宋体" w:eastAsia="宋体" w:cs="宋体"/>
          <w:bCs/>
          <w:szCs w:val="21"/>
          <w:lang w:val="en-US" w:eastAsia="zh-CN"/>
        </w:rPr>
        <w:t>:</w:t>
      </w:r>
      <w:r>
        <w:rPr>
          <w:rFonts w:ascii="宋体" w:hAnsi="宋体" w:eastAsia="宋体" w:cs="宋体"/>
          <w:bCs/>
          <w:szCs w:val="21"/>
        </w:rPr>
        <w:t>投标人需根据测评业务系统的数量自行评估并配置不少于</w:t>
      </w:r>
      <w:r>
        <w:rPr>
          <w:rFonts w:hint="eastAsia" w:ascii="宋体" w:hAnsi="宋体" w:eastAsia="宋体" w:cs="宋体"/>
          <w:bCs/>
          <w:szCs w:val="21"/>
        </w:rPr>
        <w:t>5</w:t>
      </w:r>
      <w:r>
        <w:rPr>
          <w:rFonts w:ascii="宋体" w:hAnsi="宋体" w:eastAsia="宋体" w:cs="宋体"/>
          <w:bCs/>
          <w:szCs w:val="21"/>
        </w:rPr>
        <w:t>人（至少包括1高、</w:t>
      </w:r>
      <w:r>
        <w:rPr>
          <w:rFonts w:hint="eastAsia" w:ascii="宋体" w:hAnsi="宋体" w:eastAsia="宋体" w:cs="宋体"/>
          <w:bCs/>
          <w:szCs w:val="21"/>
        </w:rPr>
        <w:t>2</w:t>
      </w:r>
      <w:r>
        <w:rPr>
          <w:rFonts w:ascii="宋体" w:hAnsi="宋体" w:eastAsia="宋体" w:cs="宋体"/>
          <w:bCs/>
          <w:szCs w:val="21"/>
        </w:rPr>
        <w:t>中）的测评实施团队，测评实施团队在合同约定期内派驻招标人指定地点办公</w:t>
      </w:r>
      <w:r>
        <w:rPr>
          <w:rFonts w:hint="eastAsia" w:ascii="宋体" w:hAnsi="宋体" w:eastAsia="宋体" w:cs="宋体"/>
          <w:bCs/>
          <w:szCs w:val="21"/>
          <w:lang w:eastAsia="zh-CN"/>
        </w:rPr>
        <w:t>。</w:t>
      </w:r>
      <w:r>
        <w:rPr>
          <w:rFonts w:ascii="宋体" w:hAnsi="宋体" w:eastAsia="宋体" w:cs="宋体"/>
          <w:b/>
          <w:bCs w:val="0"/>
          <w:color w:val="000000" w:themeColor="text1"/>
          <w:szCs w:val="21"/>
          <w14:textFill>
            <w14:solidFill>
              <w14:schemeClr w14:val="tx1"/>
            </w14:solidFill>
          </w14:textFill>
        </w:rPr>
        <w:t>投标人在中标后需保证在实施阶段主要技术人员必须是全职。</w:t>
      </w:r>
      <w:r>
        <w:rPr>
          <w:rFonts w:hint="eastAsia" w:ascii="宋体" w:hAnsi="宋体" w:eastAsia="宋体" w:cs="宋体"/>
          <w:b/>
          <w:bCs w:val="0"/>
          <w:color w:val="000000" w:themeColor="text1"/>
          <w:szCs w:val="21"/>
          <w:shd w:val="clear" w:color="FFFFFF" w:fill="D9D9D9"/>
          <w:lang w:eastAsia="zh-CN"/>
          <w14:textFill>
            <w14:solidFill>
              <w14:schemeClr w14:val="tx1"/>
            </w14:solidFill>
          </w14:textFill>
        </w:rPr>
        <w:t>（投标时须提供加盖公章的</w:t>
      </w:r>
      <w:r>
        <w:rPr>
          <w:rFonts w:ascii="宋体" w:hAnsi="宋体" w:eastAsia="宋体" w:cs="宋体"/>
          <w:b/>
          <w:bCs w:val="0"/>
          <w:color w:val="000000" w:themeColor="text1"/>
          <w:sz w:val="21"/>
          <w:szCs w:val="21"/>
          <w:shd w:val="clear" w:color="FFFFFF" w:fill="D9D9D9"/>
          <w14:textFill>
            <w14:solidFill>
              <w14:schemeClr w14:val="tx1"/>
            </w14:solidFill>
          </w14:textFill>
        </w:rPr>
        <w:t>承诺函</w:t>
      </w:r>
      <w:r>
        <w:rPr>
          <w:rFonts w:hint="eastAsia" w:ascii="宋体" w:hAnsi="宋体" w:eastAsia="宋体" w:cs="宋体"/>
          <w:b/>
          <w:bCs w:val="0"/>
          <w:color w:val="000000" w:themeColor="text1"/>
          <w:sz w:val="21"/>
          <w:szCs w:val="21"/>
          <w:shd w:val="clear" w:color="FFFFFF" w:fill="D9D9D9"/>
          <w14:textFill>
            <w14:solidFill>
              <w14:schemeClr w14:val="tx1"/>
            </w14:solidFill>
          </w14:textFill>
        </w:rPr>
        <w:t>原件</w:t>
      </w:r>
      <w:r>
        <w:rPr>
          <w:rFonts w:hint="eastAsia" w:ascii="宋体" w:hAnsi="宋体" w:eastAsia="宋体" w:cs="宋体"/>
          <w:b/>
          <w:bCs w:val="0"/>
          <w:color w:val="000000" w:themeColor="text1"/>
          <w:sz w:val="21"/>
          <w:szCs w:val="21"/>
          <w:shd w:val="clear" w:color="FFFFFF" w:fill="D9D9D9"/>
          <w:lang w:eastAsia="zh-CN"/>
          <w14:textFill>
            <w14:solidFill>
              <w14:schemeClr w14:val="tx1"/>
            </w14:solidFill>
          </w14:textFill>
        </w:rPr>
        <w:t>装订至响应文件中</w:t>
      </w:r>
      <w:r>
        <w:rPr>
          <w:rFonts w:hint="eastAsia" w:ascii="宋体" w:hAnsi="宋体" w:eastAsia="宋体" w:cs="宋体"/>
          <w:b/>
          <w:bCs w:val="0"/>
          <w:color w:val="000000" w:themeColor="text1"/>
          <w:szCs w:val="21"/>
          <w:shd w:val="clear" w:color="FFFFFF" w:fill="D9D9D9"/>
          <w:lang w:eastAsia="zh-CN"/>
          <w14:textFill>
            <w14:solidFill>
              <w14:schemeClr w14:val="tx1"/>
            </w14:solidFill>
          </w14:textFill>
        </w:rPr>
        <w:t>）</w:t>
      </w:r>
    </w:p>
    <w:p>
      <w:pPr>
        <w:spacing w:before="99" w:beforeLines="30" w:line="500" w:lineRule="exact"/>
        <w:ind w:firstLine="422" w:firstLineChars="200"/>
        <w:rPr>
          <w:rFonts w:hint="eastAsia" w:ascii="宋体" w:hAnsi="宋体"/>
          <w:b/>
          <w:szCs w:val="21"/>
        </w:rPr>
      </w:pPr>
    </w:p>
    <w:p>
      <w:pPr>
        <w:pStyle w:val="8"/>
        <w:rPr>
          <w:rFonts w:hint="eastAsia"/>
        </w:rPr>
      </w:pPr>
      <w:r>
        <w:br w:type="page"/>
      </w:r>
      <w:bookmarkStart w:id="2" w:name="_Toc62727177"/>
      <w:r>
        <w:rPr>
          <w:rFonts w:hint="eastAsia"/>
        </w:rPr>
        <w:t>二、商务要求</w:t>
      </w:r>
      <w:bookmarkEnd w:id="2"/>
    </w:p>
    <w:p>
      <w:r>
        <w:rPr>
          <w:rFonts w:hint="eastAsia"/>
        </w:rPr>
        <w:t xml:space="preserve">  </w:t>
      </w: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 w:type="dxa"/>
            <w:noWrap w:val="0"/>
            <w:vAlign w:val="center"/>
          </w:tcPr>
          <w:p>
            <w:pPr>
              <w:rPr>
                <w:rFonts w:ascii="宋体" w:hAnsi="宋体" w:cs="宋体"/>
                <w:b/>
                <w:bCs/>
                <w:szCs w:val="21"/>
              </w:rPr>
            </w:pPr>
            <w:r>
              <w:rPr>
                <w:rFonts w:hint="eastAsia" w:ascii="宋体" w:hAnsi="宋体" w:cs="宋体"/>
                <w:b/>
                <w:bCs/>
                <w:szCs w:val="21"/>
              </w:rPr>
              <w:t>序号</w:t>
            </w:r>
          </w:p>
        </w:tc>
        <w:tc>
          <w:tcPr>
            <w:tcW w:w="1559" w:type="dxa"/>
            <w:noWrap w:val="0"/>
            <w:vAlign w:val="center"/>
          </w:tcPr>
          <w:p>
            <w:pPr>
              <w:jc w:val="center"/>
              <w:rPr>
                <w:rFonts w:ascii="宋体" w:hAnsi="宋体" w:cs="宋体"/>
                <w:b/>
                <w:bCs/>
                <w:szCs w:val="21"/>
              </w:rPr>
            </w:pPr>
            <w:r>
              <w:rPr>
                <w:rFonts w:hint="eastAsia" w:ascii="宋体" w:hAnsi="宋体" w:cs="宋体"/>
                <w:b/>
                <w:bCs/>
                <w:szCs w:val="21"/>
              </w:rPr>
              <w:t>内容</w:t>
            </w:r>
          </w:p>
        </w:tc>
        <w:tc>
          <w:tcPr>
            <w:tcW w:w="6520" w:type="dxa"/>
            <w:noWrap w:val="0"/>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1</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合同签订地点</w:t>
            </w:r>
          </w:p>
        </w:tc>
        <w:tc>
          <w:tcPr>
            <w:tcW w:w="6520" w:type="dxa"/>
            <w:noWrap w:val="0"/>
            <w:vAlign w:val="center"/>
          </w:tcPr>
          <w:p>
            <w:pPr>
              <w:spacing w:line="500" w:lineRule="exact"/>
              <w:rPr>
                <w:rFonts w:hint="eastAsia" w:ascii="宋体" w:hAnsi="宋体" w:cs="宋体"/>
                <w:b/>
                <w:bCs/>
                <w:szCs w:val="21"/>
              </w:rPr>
            </w:pPr>
            <w:r>
              <w:rPr>
                <w:rFonts w:hint="eastAsia" w:ascii="宋体" w:hAnsi="宋体" w:cs="宋体"/>
                <w:b/>
                <w:bCs/>
                <w:szCs w:val="21"/>
                <w:lang w:eastAsia="zh-CN"/>
              </w:rPr>
              <w:t>歙县人民医院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2</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提供服务</w:t>
            </w:r>
          </w:p>
          <w:p>
            <w:pPr>
              <w:spacing w:line="500" w:lineRule="exact"/>
              <w:jc w:val="center"/>
              <w:rPr>
                <w:rFonts w:hint="eastAsia" w:ascii="宋体" w:hAnsi="宋体" w:cs="宋体"/>
                <w:b/>
                <w:bCs/>
                <w:szCs w:val="21"/>
              </w:rPr>
            </w:pPr>
            <w:r>
              <w:rPr>
                <w:rFonts w:hint="eastAsia" w:ascii="宋体" w:hAnsi="宋体" w:cs="宋体"/>
                <w:b/>
                <w:bCs/>
                <w:szCs w:val="21"/>
              </w:rPr>
              <w:t>的期限</w:t>
            </w:r>
          </w:p>
        </w:tc>
        <w:tc>
          <w:tcPr>
            <w:tcW w:w="6520" w:type="dxa"/>
            <w:noWrap w:val="0"/>
            <w:vAlign w:val="center"/>
          </w:tcPr>
          <w:p>
            <w:pPr>
              <w:spacing w:line="500" w:lineRule="exact"/>
              <w:rPr>
                <w:rFonts w:hint="eastAsia" w:ascii="宋体" w:hAnsi="宋体" w:cs="宋体"/>
                <w:b/>
                <w:bCs/>
                <w:szCs w:val="21"/>
              </w:rPr>
            </w:pPr>
            <w:r>
              <w:rPr>
                <w:rFonts w:hint="eastAsia" w:ascii="宋体" w:hAnsi="宋体" w:cs="宋体"/>
                <w:b/>
                <w:bCs/>
                <w:szCs w:val="21"/>
                <w:lang w:eastAsia="zh-CN"/>
              </w:rPr>
              <w:t>签订合同</w:t>
            </w:r>
            <w:r>
              <w:rPr>
                <w:rFonts w:hint="eastAsia" w:ascii="宋体" w:hAnsi="宋体" w:cs="宋体"/>
                <w:b/>
                <w:bCs/>
                <w:szCs w:val="21"/>
                <w:lang w:val="en-US" w:eastAsia="zh-CN"/>
              </w:rPr>
              <w:t>3天内进场实施，</w:t>
            </w:r>
            <w:r>
              <w:rPr>
                <w:rFonts w:hint="eastAsia" w:ascii="宋体" w:hAnsi="宋体" w:cs="宋体"/>
                <w:b/>
                <w:bCs/>
                <w:szCs w:val="21"/>
                <w:lang w:eastAsia="zh-CN"/>
              </w:rPr>
              <w:t>30天内完成。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10" w:type="dxa"/>
            <w:noWrap w:val="0"/>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559" w:type="dxa"/>
            <w:noWrap w:val="0"/>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520" w:type="dxa"/>
            <w:noWrap w:val="0"/>
            <w:vAlign w:val="center"/>
          </w:tcPr>
          <w:p>
            <w:pPr>
              <w:spacing w:line="500" w:lineRule="exact"/>
              <w:rPr>
                <w:rFonts w:ascii="宋体" w:hAnsi="宋体" w:cs="宋体"/>
                <w:b/>
                <w:bCs/>
                <w:szCs w:val="21"/>
              </w:rPr>
            </w:pPr>
            <w:r>
              <w:rPr>
                <w:rFonts w:hint="eastAsia" w:ascii="宋体" w:hAnsi="宋体" w:cs="宋体"/>
                <w:b/>
                <w:bCs/>
                <w:szCs w:val="21"/>
                <w:lang w:eastAsia="zh-CN"/>
              </w:rPr>
              <w:t>符合公安机关网安部门要求的正式测评报告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7</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付款</w:t>
            </w:r>
          </w:p>
        </w:tc>
        <w:tc>
          <w:tcPr>
            <w:tcW w:w="6520" w:type="dxa"/>
            <w:noWrap w:val="0"/>
            <w:vAlign w:val="center"/>
          </w:tcPr>
          <w:p>
            <w:pPr>
              <w:spacing w:line="500" w:lineRule="exact"/>
              <w:rPr>
                <w:rFonts w:hint="eastAsia" w:ascii="宋体" w:hAnsi="宋体" w:eastAsia="宋体" w:cs="宋体"/>
                <w:b/>
                <w:bCs/>
                <w:szCs w:val="21"/>
                <w:lang w:eastAsia="zh-CN"/>
              </w:rPr>
            </w:pPr>
            <w:r>
              <w:rPr>
                <w:rFonts w:hint="eastAsia" w:ascii="宋体" w:hAnsi="宋体" w:cs="宋体"/>
                <w:b/>
                <w:bCs/>
                <w:szCs w:val="21"/>
              </w:rPr>
              <w:t>付款人：</w:t>
            </w:r>
            <w:r>
              <w:rPr>
                <w:rFonts w:hint="eastAsia" w:ascii="宋体" w:hAnsi="宋体" w:cs="宋体"/>
                <w:b/>
                <w:bCs/>
                <w:szCs w:val="21"/>
                <w:lang w:eastAsia="zh-CN"/>
              </w:rPr>
              <w:t>歙县人民医院</w:t>
            </w:r>
          </w:p>
          <w:p>
            <w:pPr>
              <w:spacing w:line="500" w:lineRule="exact"/>
              <w:rPr>
                <w:rFonts w:ascii="宋体" w:hAnsi="宋体" w:cs="宋体"/>
                <w:b/>
                <w:bCs/>
                <w:szCs w:val="21"/>
              </w:rPr>
            </w:pPr>
            <w:r>
              <w:rPr>
                <w:rFonts w:hint="eastAsia" w:ascii="宋体" w:hAnsi="宋体" w:cs="宋体"/>
                <w:b/>
                <w:bCs/>
                <w:szCs w:val="21"/>
              </w:rPr>
              <w:t>付款方式：</w:t>
            </w:r>
            <w:r>
              <w:rPr>
                <w:rFonts w:hint="eastAsia" w:ascii="宋体" w:hAnsi="宋体" w:cs="宋体"/>
                <w:b/>
                <w:bCs/>
                <w:szCs w:val="21"/>
                <w:lang w:eastAsia="zh-CN"/>
              </w:rPr>
              <w:t>验收合格后一次性付清</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8</w:t>
            </w:r>
          </w:p>
        </w:tc>
        <w:tc>
          <w:tcPr>
            <w:tcW w:w="1559" w:type="dxa"/>
            <w:noWrap w:val="0"/>
            <w:vAlign w:val="center"/>
          </w:tcPr>
          <w:p>
            <w:pPr>
              <w:spacing w:line="500" w:lineRule="exact"/>
              <w:jc w:val="center"/>
              <w:rPr>
                <w:rFonts w:hint="eastAsia" w:ascii="宋体" w:hAnsi="宋体" w:cs="宋体"/>
                <w:b/>
                <w:bCs/>
                <w:szCs w:val="21"/>
              </w:rPr>
            </w:pPr>
            <w:r>
              <w:rPr>
                <w:rFonts w:hint="eastAsia" w:ascii="宋体" w:hAnsi="宋体" w:cs="宋体"/>
                <w:b/>
                <w:bCs/>
                <w:szCs w:val="21"/>
              </w:rPr>
              <w:t>履约保证金</w:t>
            </w:r>
          </w:p>
        </w:tc>
        <w:tc>
          <w:tcPr>
            <w:tcW w:w="6520" w:type="dxa"/>
            <w:noWrap w:val="0"/>
            <w:vAlign w:val="center"/>
          </w:tcPr>
          <w:p>
            <w:pPr>
              <w:spacing w:line="500" w:lineRule="exact"/>
              <w:rPr>
                <w:rFonts w:hint="eastAsia" w:ascii="宋体" w:hAnsi="宋体" w:eastAsia="宋体" w:cs="宋体"/>
                <w:b/>
                <w:bCs/>
                <w:szCs w:val="21"/>
                <w:lang w:eastAsia="zh-CN"/>
              </w:rPr>
            </w:pPr>
            <w:r>
              <w:rPr>
                <w:rFonts w:hint="eastAsia" w:ascii="宋体" w:hAnsi="宋体"/>
                <w:b/>
                <w:bCs/>
                <w:szCs w:val="21"/>
                <w:lang w:val="en-US" w:eastAsia="zh-CN"/>
              </w:rPr>
              <w:t>/</w:t>
            </w:r>
          </w:p>
        </w:tc>
      </w:tr>
    </w:tbl>
    <w:p>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766EED"/>
    <w:multiLevelType w:val="multilevel"/>
    <w:tmpl w:val="6A766E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A05A7"/>
    <w:rsid w:val="107A05A7"/>
    <w:rsid w:val="5B9E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宋体"/>
      <w:b/>
      <w:bCs/>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7">
    <w:name w:val="H1"/>
    <w:basedOn w:val="3"/>
    <w:next w:val="1"/>
    <w:qFormat/>
    <w:uiPriority w:val="0"/>
    <w:pPr>
      <w:spacing w:line="600" w:lineRule="exact"/>
      <w:jc w:val="center"/>
    </w:pPr>
    <w:rPr>
      <w:rFonts w:ascii="宋体" w:hAnsi="宋体" w:eastAsia="黑体"/>
      <w:color w:val="000000"/>
      <w:sz w:val="32"/>
      <w:szCs w:val="21"/>
    </w:rPr>
  </w:style>
  <w:style w:type="paragraph" w:customStyle="1" w:styleId="8">
    <w:name w:val="H2"/>
    <w:basedOn w:val="4"/>
    <w:next w:val="1"/>
    <w:qFormat/>
    <w:uiPriority w:val="0"/>
    <w:pPr>
      <w:keepNext w:val="0"/>
      <w:keepLines w:val="0"/>
      <w:spacing w:before="0" w:after="0" w:line="360" w:lineRule="auto"/>
      <w:jc w:val="center"/>
    </w:pPr>
    <w:rPr>
      <w:rFonts w:ascii="宋体" w:hAnsi="宋体" w:cs="Arial"/>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2021-06-07T07:04:00Z</dcterms:created>
  <dc:creator>Administrator</dc:creator>
  <cp:lastModifiedBy>系统管理员</cp:lastModifiedBy>
  <dcterms:modified xsi:type="dcterms:W3CDTF">2021-06-08T07:37:03Z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A57353ACF30C4AEFAC71254D4752E269</vt:lpwstr>
  </property>
</Properties>
</file>