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Style w:val="9"/>
          <w:rFonts w:cs="宋体"/>
        </w:rPr>
      </w:pPr>
      <w:bookmarkStart w:id="2" w:name="_GoBack"/>
      <w:bookmarkEnd w:id="2"/>
      <w:r>
        <w:rPr>
          <w:rStyle w:val="9"/>
          <w:rFonts w:hint="eastAsia" w:cs="宋体"/>
        </w:rPr>
        <w:t>采购需求</w:t>
      </w:r>
    </w:p>
    <w:p>
      <w:pPr>
        <w:pStyle w:val="2"/>
        <w:jc w:val="left"/>
        <w:rPr>
          <w:rStyle w:val="9"/>
          <w:rFonts w:ascii="宋体" w:cs="宋体"/>
          <w:sz w:val="30"/>
          <w:szCs w:val="30"/>
          <w:shd w:val="clear" w:color="auto" w:fill="FFFFFF"/>
        </w:rPr>
      </w:pPr>
      <w:bookmarkStart w:id="0" w:name="_Toc21587"/>
      <w:r>
        <w:rPr>
          <w:rStyle w:val="9"/>
          <w:rFonts w:hint="eastAsia" w:ascii="宋体" w:cs="宋体"/>
          <w:sz w:val="30"/>
          <w:szCs w:val="30"/>
          <w:shd w:val="clear" w:color="auto" w:fill="FFFFFF"/>
        </w:rPr>
        <w:t>一、技术参数配置要求</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eastAsia="zh-CN"/>
              </w:rPr>
            </w:pPr>
            <w:r>
              <w:rPr>
                <w:rFonts w:hint="eastAsia"/>
                <w:color w:val="auto"/>
                <w:sz w:val="24"/>
                <w:szCs w:val="24"/>
                <w:vertAlign w:val="baseline"/>
                <w:lang w:eastAsia="zh-CN"/>
              </w:rPr>
              <w:t>名称</w:t>
            </w:r>
          </w:p>
        </w:tc>
        <w:tc>
          <w:tcPr>
            <w:tcW w:w="4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eastAsia="zh-CN"/>
              </w:rPr>
            </w:pPr>
            <w:r>
              <w:rPr>
                <w:rFonts w:hint="eastAsia"/>
                <w:color w:val="auto"/>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rPr>
            </w:pPr>
            <w:r>
              <w:rPr>
                <w:rFonts w:hint="eastAsia" w:ascii="宋体" w:hAnsi="宋体"/>
                <w:szCs w:val="21"/>
              </w:rPr>
              <w:t>防火墙（详见技术及服务要求）</w:t>
            </w:r>
          </w:p>
        </w:tc>
        <w:tc>
          <w:tcPr>
            <w:tcW w:w="4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1台</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lang w:eastAsia="zh-CN"/>
        </w:rPr>
      </w:pPr>
      <w:r>
        <w:rPr>
          <w:rFonts w:hint="eastAsia"/>
          <w:color w:val="auto"/>
          <w:sz w:val="24"/>
          <w:szCs w:val="24"/>
          <w:lang w:eastAsia="zh-CN"/>
        </w:rPr>
        <w:t>技术及服务要求：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1.双电源；标准配置6个10/100M/1000M自适应千兆电接口、4个千兆SFP接口及2个接口扩展槽，，默认支持下一代防火墙访问控制、入侵防御、网络防病毒、上网行为及URL分类管理、流控和IPSec VPN模块；防火墙吞吐≥20Gbps，并发连接数≥400万，包含三年入侵防御和防病毒特征库升级。</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2、★支持基于硬件Hypervisor技术的底层虚拟化，各个虚拟防火墙之间完全隔离，可运行不同的防火墙版本，拥有完全独立的CPU、内存、接口等资源。提供虚拟防火墙Hypervisor层资源配置管理界面截图。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3、支持并开通网络入侵检测及防御功能，入侵防御事件库事件数量不少于4000条；支持基于接口/安全域、地址、用户、服务、应用和时间的入侵防御策略设定，每个入侵防御策略均可配置检测事件及响应方式。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4、支持扩展APT检测模块，采用沙箱检测技术，对未知木马、病毒、恶意代码具有精确的检测效果，实现对未知威胁、高级持续威胁和0DAY攻击的有效防护。可对exe、rtf、pdf、xls（x）、ppt（x）、doc（x）、pps（x）、swf、rar、zip等常见的格式进行动态沙箱分析；可对rtf、pdf、xls（x）、ppt（x）、doc（x）、pps（x）做PE内嵌检测，并且能指出文件偏移位置； 提供相关界面截图。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5、支持策略预编译技术，在大量防火墙访问控制策略情况下整机性能不受影响，提供相关界面截图；支持详细的访问控制策略日志，每条匹配策略的会话均可记录其建立会话和拆除会话的日志；访问控制策略日志可本地记录或发送至Syslog服务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6、★支持基于威胁情报云的动态防护功能，防火墙支持将用户对互联网的访问信息发送至威胁情报云进行实时情报查询及防护。提供防火墙配置界面及威胁情报云端界面截图。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7、★支持扩展集中策略分析模块，通过集中策略分析模块实现：集中对所有防火墙安全策略进行冗余分析，可分析出哪些安全策略是不必要的冗余配置；集中对所有防火墙安全策略进行收敛分析，也称宽松策略分析。能够支持查看任何一条宽松策略的流量详细信息；集中对所有防火墙安全策略进行命中频率分析，辅助用户快速完成策略次序的调整，从而达到优化防火墙处理性能的目的；集中对所有防火墙安全策略进行潜在冲突分析，辅助用户快速完成策略的调整，从而达到防火墙访问控制的目的；提供上述功能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8、★系统支持对SD-WAN隧道的时延、抖动、带宽占用率、丢包率等提供可视化展示；提供相关界面截图；支持多链路智能选路，根据业务对抖动、时延和带宽的要求，在多条不同链路上智能动态选路，通过自动重传技术，实现链路切换时无丢包，业务不掉线；提供相关界面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9、通过WAN虚拟化技术实现多条链路捆绑，同一个session数据可以在多条链路上同时传输，加速大文件复制业务；提供相关界面截图.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10、提供防火墙日志云端存储与分析服务，提供无限量云端日志存储空间；可将防火墙、NAT、系统和安全等日志一键上报至云端，提供相关界面截图；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11.★包含三年入侵防御、防病毒、应用识别和URL特征库升级；支持并开通IPSec VPN和L2TP VPN，投标产品实配IPSec VPN隧道数量不少于10000条;支持并开通SSL VPN功能，投标产品实配SSL VPN并发用户数不少于3000个。</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12、★产品资质要求：产品具备《中国国家信息安全产品认证证书》，且认证等级为增强级；《信息技术产品安全测评证书-EAL4+》证书；全球IPv6测试中心颁发的《IPv6 Ready》金牌认证证书；防火墙产品需入围Gartner 20</w:t>
      </w:r>
      <w:r>
        <w:rPr>
          <w:color w:val="auto"/>
          <w:sz w:val="24"/>
          <w:szCs w:val="24"/>
        </w:rPr>
        <w:t>20</w:t>
      </w:r>
      <w:r>
        <w:rPr>
          <w:rFonts w:hint="eastAsia"/>
          <w:color w:val="auto"/>
          <w:sz w:val="24"/>
          <w:szCs w:val="24"/>
        </w:rPr>
        <w:t xml:space="preserve"> 年网络防火墙魔力象限；提供以上有效期内证明；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13.</w:t>
      </w:r>
      <w:r>
        <w:rPr>
          <w:rFonts w:hint="eastAsia"/>
          <w:color w:val="auto"/>
          <w:sz w:val="24"/>
          <w:szCs w:val="24"/>
        </w:rPr>
        <w:t xml:space="preserve"> ★厂商资要求：设备厂商是GA/T 1177-2014（信息安全技术 第二代防火墙安全技术要求）标准起草单位;《信息安全服务资质证书（安全工程类三级）》；工业信息安全产业发展联盟颁发的工业信息安全测试评估机构能力认定证书（二级）；CMMI5级软件成熟度认证证书；提供以上有效期内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1</w:t>
      </w:r>
      <w:r>
        <w:rPr>
          <w:color w:val="auto"/>
          <w:sz w:val="24"/>
          <w:szCs w:val="24"/>
        </w:rPr>
        <w:t>4</w:t>
      </w:r>
      <w:r>
        <w:rPr>
          <w:rFonts w:hint="eastAsia"/>
          <w:color w:val="auto"/>
          <w:sz w:val="24"/>
          <w:szCs w:val="24"/>
        </w:rPr>
        <w:t>.提供原厂授权和三年售后服务承诺函。</w:t>
      </w:r>
    </w:p>
    <w:p>
      <w:pPr>
        <w:spacing w:line="500" w:lineRule="exact"/>
        <w:rPr>
          <w:rStyle w:val="9"/>
          <w:rFonts w:hint="eastAsia" w:ascii="宋体" w:cs="宋体"/>
          <w:sz w:val="30"/>
          <w:szCs w:val="30"/>
          <w:shd w:val="clear" w:color="auto" w:fill="FFFFFF"/>
        </w:rPr>
      </w:pPr>
    </w:p>
    <w:p>
      <w:pPr>
        <w:pStyle w:val="2"/>
        <w:jc w:val="left"/>
        <w:rPr>
          <w:rFonts w:hint="eastAsia" w:ascii="宋体" w:hAnsi="宋体" w:cs="宋体"/>
          <w:b w:val="0"/>
          <w:bCs w:val="0"/>
          <w:szCs w:val="21"/>
        </w:rPr>
      </w:pPr>
      <w:r>
        <w:rPr>
          <w:rFonts w:ascii="宋体" w:hAnsi="宋体" w:cs="宋体"/>
          <w:bCs w:val="0"/>
          <w:szCs w:val="21"/>
        </w:rPr>
        <w:br w:type="page"/>
      </w:r>
      <w:bookmarkStart w:id="1" w:name="_Toc13090"/>
      <w:r>
        <w:rPr>
          <w:rFonts w:hint="eastAsia" w:ascii="宋体" w:hAnsi="宋体" w:cs="宋体"/>
          <w:bCs w:val="0"/>
          <w:szCs w:val="21"/>
        </w:rPr>
        <w:t>二、商务</w:t>
      </w:r>
      <w:r>
        <w:rPr>
          <w:rFonts w:hint="eastAsia"/>
        </w:rPr>
        <w:t>要求</w:t>
      </w:r>
      <w:bookmarkEnd w:id="1"/>
    </w:p>
    <w:p>
      <w:pPr>
        <w:rPr>
          <w:rFonts w:ascii="宋体" w:hAnsi="宋体" w:cs="宋体"/>
          <w:b/>
          <w:bCs/>
          <w:szCs w:val="21"/>
        </w:rPr>
      </w:pPr>
      <w:r>
        <w:rPr>
          <w:rFonts w:hint="eastAsia" w:ascii="宋体" w:hAnsi="宋体" w:cs="宋体"/>
          <w:b/>
          <w:bCs/>
          <w:szCs w:val="21"/>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294"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294" w:type="dxa"/>
            <w:noWrap w:val="0"/>
            <w:vAlign w:val="center"/>
          </w:tcPr>
          <w:p>
            <w:pPr>
              <w:spacing w:line="500" w:lineRule="exact"/>
              <w:rPr>
                <w:rFonts w:ascii="宋体" w:hAnsi="宋体" w:cs="宋体"/>
                <w:b/>
                <w:bCs/>
                <w:szCs w:val="21"/>
              </w:rPr>
            </w:pPr>
            <w:r>
              <w:rPr>
                <w:rFonts w:hint="eastAsia" w:ascii="宋体" w:hAnsi="宋体" w:cs="宋体"/>
                <w:b/>
                <w:bCs/>
                <w:szCs w:val="21"/>
              </w:rPr>
              <w:t xml:space="preserve"> </w:t>
            </w:r>
            <w:r>
              <w:rPr>
                <w:rFonts w:hint="eastAsia" w:ascii="宋体" w:hAnsi="宋体"/>
                <w:szCs w:val="21"/>
                <w:lang w:eastAsia="zh-CN"/>
              </w:rPr>
              <w:t>歙县人民医院</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供货完成时限</w:t>
            </w:r>
          </w:p>
        </w:tc>
        <w:tc>
          <w:tcPr>
            <w:tcW w:w="6294" w:type="dxa"/>
            <w:noWrap w:val="0"/>
            <w:vAlign w:val="center"/>
          </w:tcPr>
          <w:p>
            <w:pPr>
              <w:spacing w:line="500" w:lineRule="exact"/>
              <w:rPr>
                <w:rFonts w:hint="eastAsia" w:ascii="宋体" w:hAnsi="宋体" w:eastAsia="宋体" w:cs="宋体"/>
                <w:b/>
                <w:bCs/>
                <w:szCs w:val="21"/>
                <w:lang w:eastAsia="zh-CN"/>
              </w:rPr>
            </w:pPr>
            <w:r>
              <w:rPr>
                <w:rFonts w:hint="eastAsia" w:ascii="宋体" w:hAnsi="宋体"/>
                <w:szCs w:val="21"/>
              </w:rPr>
              <w:t>签订合同10天内供货并调试安装完成</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6294" w:type="dxa"/>
            <w:noWrap w:val="0"/>
            <w:vAlign w:val="center"/>
          </w:tcPr>
          <w:p>
            <w:pPr>
              <w:spacing w:line="500" w:lineRule="exact"/>
              <w:rPr>
                <w:rFonts w:hint="eastAsia"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noWrap w:val="0"/>
            <w:vAlign w:val="center"/>
          </w:tcPr>
          <w:p>
            <w:pPr>
              <w:spacing w:line="500" w:lineRule="exact"/>
              <w:rPr>
                <w:rFonts w:hint="eastAsia" w:ascii="宋体" w:hAnsi="宋体" w:eastAsia="宋体" w:cs="宋体"/>
                <w:b/>
                <w:bCs/>
                <w:szCs w:val="21"/>
                <w:lang w:eastAsia="zh-CN"/>
              </w:rPr>
            </w:pPr>
            <w:r>
              <w:rPr>
                <w:rFonts w:hint="eastAsia" w:ascii="宋体" w:hAnsi="宋体" w:cs="宋体"/>
                <w:b/>
                <w:bCs/>
                <w:szCs w:val="21"/>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5</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货物售后服务</w:t>
            </w:r>
          </w:p>
        </w:tc>
        <w:tc>
          <w:tcPr>
            <w:tcW w:w="6294" w:type="dxa"/>
            <w:noWrap w:val="0"/>
            <w:vAlign w:val="center"/>
          </w:tcPr>
          <w:p>
            <w:pPr>
              <w:spacing w:line="500" w:lineRule="exact"/>
              <w:rPr>
                <w:rFonts w:hint="eastAsia" w:ascii="宋体" w:hAnsi="宋体" w:cs="宋体"/>
                <w:b/>
                <w:bCs/>
                <w:szCs w:val="21"/>
              </w:rPr>
            </w:pPr>
            <w:r>
              <w:rPr>
                <w:rFonts w:hint="eastAsia" w:ascii="宋体" w:hAnsi="宋体" w:eastAsia="宋体" w:cs="宋体"/>
                <w:b/>
                <w:bCs/>
                <w:szCs w:val="21"/>
              </w:rPr>
              <w:t>符合服务要求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noWrap w:val="0"/>
            <w:vAlign w:val="center"/>
          </w:tcPr>
          <w:p>
            <w:pPr>
              <w:spacing w:line="500" w:lineRule="exact"/>
              <w:rPr>
                <w:rFonts w:ascii="宋体" w:hAnsi="宋体" w:cs="宋体"/>
                <w:b/>
                <w:bCs/>
                <w:szCs w:val="21"/>
              </w:rPr>
            </w:pPr>
            <w:r>
              <w:rPr>
                <w:rFonts w:hint="eastAsia" w:ascii="宋体" w:hAnsi="宋体" w:eastAsia="宋体" w:cs="宋体"/>
                <w:b/>
                <w:bCs/>
                <w:szCs w:val="21"/>
              </w:rPr>
              <w:t>按</w:t>
            </w:r>
            <w:r>
              <w:rPr>
                <w:rFonts w:hint="eastAsia" w:ascii="宋体" w:hAnsi="宋体" w:eastAsia="宋体" w:cs="宋体"/>
                <w:b/>
                <w:bCs/>
                <w:szCs w:val="21"/>
                <w:lang w:eastAsia="zh-CN"/>
              </w:rPr>
              <w:t>询价</w:t>
            </w:r>
            <w:r>
              <w:rPr>
                <w:rFonts w:hint="eastAsia" w:ascii="宋体" w:hAnsi="宋体" w:eastAsia="宋体" w:cs="宋体"/>
                <w:b/>
                <w:bCs/>
                <w:szCs w:val="21"/>
              </w:rPr>
              <w:t>文件及合同要求进行查验</w:t>
            </w:r>
            <w:r>
              <w:rPr>
                <w:rFonts w:hint="eastAsia" w:ascii="宋体" w:hAnsi="宋体" w:cs="宋体"/>
                <w:b/>
                <w:bCs/>
                <w:szCs w:val="21"/>
                <w:lang w:eastAsia="zh-CN"/>
              </w:rPr>
              <w:t>合格</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7</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294" w:type="dxa"/>
            <w:noWrap w:val="0"/>
            <w:vAlign w:val="center"/>
          </w:tcPr>
          <w:p>
            <w:pPr>
              <w:spacing w:line="500" w:lineRule="exact"/>
              <w:rPr>
                <w:rFonts w:ascii="宋体" w:hAnsi="宋体" w:cs="宋体"/>
                <w:b/>
                <w:bCs/>
                <w:szCs w:val="21"/>
              </w:rPr>
            </w:pPr>
            <w:r>
              <w:rPr>
                <w:rFonts w:hint="eastAsia" w:ascii="宋体" w:hAnsi="宋体" w:cs="宋体"/>
                <w:b/>
                <w:bCs/>
                <w:szCs w:val="21"/>
              </w:rPr>
              <w:t xml:space="preserve">付款人： </w:t>
            </w:r>
            <w:r>
              <w:rPr>
                <w:rFonts w:hint="eastAsia" w:ascii="宋体" w:hAnsi="宋体" w:cs="宋体"/>
                <w:b/>
                <w:bCs/>
                <w:szCs w:val="21"/>
                <w:lang w:eastAsia="zh-CN"/>
              </w:rPr>
              <w:t>歙县人民医院</w:t>
            </w:r>
            <w:r>
              <w:rPr>
                <w:rFonts w:hint="eastAsia" w:ascii="宋体" w:hAnsi="宋体" w:cs="宋体"/>
                <w:b/>
                <w:bCs/>
                <w:szCs w:val="21"/>
              </w:rPr>
              <w:t xml:space="preserve">  </w:t>
            </w:r>
          </w:p>
          <w:p>
            <w:pPr>
              <w:spacing w:line="500" w:lineRule="exact"/>
              <w:rPr>
                <w:rFonts w:ascii="宋体" w:hAnsi="宋体" w:cs="宋体"/>
                <w:b/>
                <w:bCs/>
                <w:szCs w:val="21"/>
              </w:rPr>
            </w:pPr>
            <w:r>
              <w:rPr>
                <w:rFonts w:hint="eastAsia" w:ascii="宋体" w:hAnsi="宋体" w:cs="宋体"/>
                <w:b/>
                <w:bCs/>
                <w:szCs w:val="21"/>
              </w:rPr>
              <w:t>付款方式： 验收合格付</w:t>
            </w:r>
            <w:r>
              <w:rPr>
                <w:rFonts w:hint="eastAsia" w:ascii="宋体" w:hAnsi="宋体" w:cs="宋体"/>
                <w:b/>
                <w:bCs/>
                <w:szCs w:val="21"/>
                <w:lang w:eastAsia="zh-CN"/>
              </w:rPr>
              <w:t>至</w:t>
            </w:r>
            <w:r>
              <w:rPr>
                <w:rFonts w:hint="eastAsia" w:ascii="宋体" w:hAnsi="宋体" w:cs="宋体"/>
                <w:b/>
                <w:bCs/>
                <w:szCs w:val="21"/>
              </w:rPr>
              <w:t>90%，</w:t>
            </w:r>
            <w:r>
              <w:rPr>
                <w:rFonts w:hint="eastAsia" w:ascii="宋体" w:hAnsi="宋体" w:cs="宋体"/>
                <w:b/>
                <w:bCs/>
                <w:szCs w:val="21"/>
                <w:lang w:eastAsia="zh-CN"/>
              </w:rPr>
              <w:t>剩余</w:t>
            </w:r>
            <w:r>
              <w:rPr>
                <w:rFonts w:hint="eastAsia" w:ascii="宋体" w:hAnsi="宋体" w:cs="宋体"/>
                <w:b/>
                <w:bCs/>
                <w:szCs w:val="21"/>
                <w:lang w:val="en-US" w:eastAsia="zh-CN"/>
              </w:rPr>
              <w:t>10%</w:t>
            </w:r>
            <w:r>
              <w:rPr>
                <w:rFonts w:hint="eastAsia" w:ascii="宋体" w:hAnsi="宋体" w:cs="宋体"/>
                <w:b/>
                <w:bCs/>
                <w:szCs w:val="21"/>
              </w:rPr>
              <w:t>质保</w:t>
            </w:r>
            <w:r>
              <w:rPr>
                <w:rFonts w:hint="eastAsia" w:ascii="宋体" w:hAnsi="宋体" w:cs="宋体"/>
                <w:b/>
                <w:bCs/>
                <w:szCs w:val="21"/>
                <w:lang w:eastAsia="zh-CN"/>
              </w:rPr>
              <w:t>期</w:t>
            </w:r>
            <w:r>
              <w:rPr>
                <w:rFonts w:hint="eastAsia" w:ascii="宋体" w:hAnsi="宋体" w:cs="宋体"/>
                <w:b/>
                <w:bCs/>
                <w:szCs w:val="21"/>
              </w:rPr>
              <w:t xml:space="preserve">满一年支付。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8</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294" w:type="dxa"/>
            <w:noWrap w:val="0"/>
            <w:vAlign w:val="center"/>
          </w:tcPr>
          <w:p>
            <w:pPr>
              <w:spacing w:line="500" w:lineRule="exact"/>
              <w:rPr>
                <w:rFonts w:hint="eastAsia" w:ascii="宋体" w:hAnsi="宋体" w:cs="宋体"/>
                <w:b/>
                <w:bCs/>
                <w:szCs w:val="21"/>
              </w:rPr>
            </w:pPr>
            <w:r>
              <w:rPr>
                <w:rFonts w:hint="eastAsia" w:ascii="宋体" w:hAnsi="宋体"/>
                <w:b/>
                <w:bCs/>
                <w:szCs w:val="21"/>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E3F18"/>
    <w:rsid w:val="613C600F"/>
    <w:rsid w:val="7E5E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3">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5">
    <w:name w:val="Table Grid"/>
    <w:basedOn w:val="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1"/>
    <w:basedOn w:val="3"/>
    <w:next w:val="8"/>
    <w:qFormat/>
    <w:uiPriority w:val="0"/>
    <w:pPr>
      <w:spacing w:line="560" w:lineRule="exact"/>
      <w:jc w:val="left"/>
    </w:pPr>
    <w:rPr>
      <w:rFonts w:ascii="宋体" w:hAnsi="宋体" w:cs="宋体"/>
      <w:bCs w:val="0"/>
      <w:color w:val="000000"/>
    </w:rPr>
  </w:style>
  <w:style w:type="paragraph" w:customStyle="1" w:styleId="8">
    <w:name w:val="GW-正文"/>
    <w:basedOn w:val="1"/>
    <w:qFormat/>
    <w:uiPriority w:val="0"/>
    <w:pPr>
      <w:spacing w:line="360" w:lineRule="auto"/>
      <w:ind w:firstLine="200" w:firstLineChars="200"/>
      <w:contextualSpacing/>
    </w:pPr>
    <w:rPr>
      <w:szCs w:val="24"/>
    </w:rPr>
  </w:style>
  <w:style w:type="character" w:customStyle="1" w:styleId="9">
    <w:name w:val="apple-converted-space"/>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2021-02-04T08:55:00Z</dcterms:created>
  <dc:creator>未定义</dc:creator>
  <cp:lastModifiedBy>gyb1</cp:lastModifiedBy>
  <cp:lastPrinted>2021-02-04T09:01:48Z</cp:lastPrinted>
  <dcterms:modified xsi:type="dcterms:W3CDTF">2021-02-04T09:02:00Z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