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Style w:val="10"/>
          <w:rFonts w:cs="宋体"/>
        </w:rPr>
      </w:pPr>
      <w:r>
        <w:rPr>
          <w:rStyle w:val="10"/>
          <w:rFonts w:hint="eastAsia" w:cs="宋体"/>
        </w:rPr>
        <w:t>采购需求</w:t>
      </w:r>
    </w:p>
    <w:p>
      <w:pPr>
        <w:pStyle w:val="4"/>
        <w:jc w:val="left"/>
        <w:rPr>
          <w:rStyle w:val="10"/>
          <w:rFonts w:hint="eastAsia" w:ascii="宋体" w:cs="宋体"/>
          <w:sz w:val="30"/>
          <w:szCs w:val="30"/>
          <w:shd w:val="clear" w:color="auto" w:fill="FFFFFF"/>
        </w:rPr>
      </w:pPr>
      <w:bookmarkStart w:id="0" w:name="_Toc21587"/>
      <w:r>
        <w:rPr>
          <w:rStyle w:val="10"/>
          <w:rFonts w:hint="eastAsia" w:ascii="宋体" w:cs="宋体"/>
          <w:sz w:val="30"/>
          <w:szCs w:val="30"/>
          <w:shd w:val="clear" w:color="auto" w:fill="FFFFFF"/>
        </w:rPr>
        <w:t>一、技术参数配置要求</w:t>
      </w:r>
    </w:p>
    <w:p>
      <w:pPr>
        <w:pStyle w:val="4"/>
        <w:jc w:val="left"/>
        <w:rPr>
          <w:rStyle w:val="10"/>
          <w:rFonts w:hint="eastAsia" w:ascii="宋体" w:eastAsia="宋体" w:cs="宋体"/>
          <w:sz w:val="24"/>
          <w:szCs w:val="24"/>
          <w:shd w:val="clear" w:color="auto" w:fill="FFFFFF"/>
          <w:lang w:eastAsia="zh-CN"/>
        </w:rPr>
      </w:pPr>
      <w:r>
        <w:rPr>
          <w:rStyle w:val="10"/>
          <w:rFonts w:hint="eastAsia" w:ascii="宋体" w:cs="宋体"/>
          <w:sz w:val="24"/>
          <w:szCs w:val="24"/>
          <w:shd w:val="clear" w:color="auto" w:fill="FFFFFF"/>
          <w:lang w:val="en-US" w:eastAsia="zh-CN"/>
        </w:rPr>
        <w:t>1、</w:t>
      </w:r>
      <w:r>
        <w:rPr>
          <w:rStyle w:val="10"/>
          <w:rFonts w:hint="eastAsia" w:ascii="宋体" w:cs="宋体"/>
          <w:sz w:val="24"/>
          <w:szCs w:val="24"/>
          <w:shd w:val="clear" w:color="auto" w:fill="FFFFFF"/>
          <w:lang w:eastAsia="zh-CN"/>
        </w:rPr>
        <w:t>采购清单及</w:t>
      </w:r>
      <w:r>
        <w:rPr>
          <w:rStyle w:val="10"/>
          <w:rFonts w:hint="eastAsia" w:ascii="宋体" w:cs="宋体"/>
          <w:sz w:val="24"/>
          <w:szCs w:val="24"/>
          <w:shd w:val="clear" w:color="auto" w:fill="FFFFFF"/>
        </w:rPr>
        <w:t>技术参数配置要求</w:t>
      </w:r>
      <w:bookmarkEnd w:id="0"/>
      <w:r>
        <w:rPr>
          <w:rStyle w:val="10"/>
          <w:rFonts w:hint="eastAsia" w:ascii="宋体" w:cs="宋体"/>
          <w:sz w:val="24"/>
          <w:szCs w:val="24"/>
          <w:shd w:val="clear" w:color="auto" w:fill="FFFFFF"/>
          <w:lang w:eastAsia="zh-CN"/>
        </w:rPr>
        <w:t>：</w:t>
      </w:r>
    </w:p>
    <w:tbl>
      <w:tblPr>
        <w:tblStyle w:val="6"/>
        <w:tblpPr w:leftFromText="180" w:rightFromText="180" w:vertAnchor="text" w:horzAnchor="margin" w:tblpXSpec="center" w:tblpY="64"/>
        <w:tblOverlap w:val="never"/>
        <w:tblW w:w="10486" w:type="dxa"/>
        <w:tblInd w:w="-26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15" w:type="dxa"/>
          <w:left w:w="15" w:type="dxa"/>
          <w:bottom w:w="15" w:type="dxa"/>
          <w:right w:w="15" w:type="dxa"/>
        </w:tblCellMar>
      </w:tblPr>
      <w:tblGrid>
        <w:gridCol w:w="789"/>
        <w:gridCol w:w="872"/>
        <w:gridCol w:w="7368"/>
        <w:gridCol w:w="145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89" w:type="dxa"/>
            <w:vAlign w:val="center"/>
          </w:tcPr>
          <w:p>
            <w:pPr>
              <w:spacing w:line="360" w:lineRule="auto"/>
              <w:jc w:val="center"/>
              <w:rPr>
                <w:rFonts w:ascii="宋体" w:hAnsi="宋体"/>
                <w:b/>
                <w:bCs/>
              </w:rPr>
            </w:pPr>
            <w:r>
              <w:rPr>
                <w:rFonts w:hint="eastAsia" w:ascii="宋体" w:hAnsi="宋体"/>
                <w:b/>
                <w:bCs/>
              </w:rPr>
              <w:t>序号</w:t>
            </w:r>
          </w:p>
        </w:tc>
        <w:tc>
          <w:tcPr>
            <w:tcW w:w="872" w:type="dxa"/>
            <w:vAlign w:val="center"/>
          </w:tcPr>
          <w:p>
            <w:pPr>
              <w:spacing w:line="360" w:lineRule="auto"/>
              <w:jc w:val="center"/>
              <w:rPr>
                <w:rFonts w:ascii="宋体" w:hAnsi="宋体"/>
                <w:b/>
                <w:bCs/>
              </w:rPr>
            </w:pPr>
            <w:r>
              <w:rPr>
                <w:rFonts w:hint="eastAsia" w:ascii="宋体" w:hAnsi="宋体"/>
                <w:b/>
                <w:bCs/>
              </w:rPr>
              <w:t>名称</w:t>
            </w:r>
          </w:p>
        </w:tc>
        <w:tc>
          <w:tcPr>
            <w:tcW w:w="7368" w:type="dxa"/>
            <w:vAlign w:val="center"/>
          </w:tcPr>
          <w:p>
            <w:pPr>
              <w:spacing w:line="360" w:lineRule="auto"/>
              <w:jc w:val="center"/>
              <w:rPr>
                <w:rFonts w:hint="eastAsia" w:ascii="宋体" w:hAnsi="宋体" w:eastAsia="宋体"/>
                <w:b/>
                <w:bCs/>
                <w:lang w:eastAsia="zh-CN"/>
              </w:rPr>
            </w:pPr>
            <w:r>
              <w:rPr>
                <w:rFonts w:hint="eastAsia" w:ascii="宋体" w:hAnsi="宋体"/>
                <w:b/>
                <w:bCs/>
              </w:rPr>
              <w:t>参数</w:t>
            </w:r>
            <w:r>
              <w:rPr>
                <w:rFonts w:hint="eastAsia" w:ascii="宋体" w:hAnsi="宋体"/>
                <w:b/>
                <w:bCs/>
                <w:lang w:eastAsia="zh-CN"/>
              </w:rPr>
              <w:t>要求</w:t>
            </w:r>
          </w:p>
        </w:tc>
        <w:tc>
          <w:tcPr>
            <w:tcW w:w="1457" w:type="dxa"/>
            <w:vAlign w:val="center"/>
          </w:tcPr>
          <w:p>
            <w:pPr>
              <w:spacing w:line="360" w:lineRule="auto"/>
              <w:jc w:val="center"/>
              <w:rPr>
                <w:rFonts w:hint="eastAsia" w:ascii="宋体" w:hAnsi="宋体" w:eastAsia="宋体"/>
                <w:b/>
                <w:bCs/>
                <w:lang w:eastAsia="zh-CN"/>
              </w:rPr>
            </w:pPr>
            <w:r>
              <w:rPr>
                <w:rFonts w:hint="eastAsia" w:ascii="宋体" w:hAnsi="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5392" w:hRule="atLeast"/>
        </w:trPr>
        <w:tc>
          <w:tcPr>
            <w:tcW w:w="789" w:type="dxa"/>
            <w:vAlign w:val="center"/>
          </w:tcPr>
          <w:p>
            <w:pPr>
              <w:numPr>
                <w:ilvl w:val="0"/>
                <w:numId w:val="0"/>
              </w:numPr>
              <w:spacing w:line="360" w:lineRule="auto"/>
              <w:ind w:left="405" w:leftChars="0"/>
              <w:jc w:val="left"/>
              <w:rPr>
                <w:rFonts w:hint="default" w:ascii="宋体" w:hAnsi="宋体"/>
                <w:lang w:val="en-US"/>
              </w:rPr>
            </w:pPr>
            <w:r>
              <w:rPr>
                <w:rFonts w:hint="default" w:ascii="宋体" w:hAnsi="宋体"/>
                <w:lang w:val="en-US"/>
              </w:rPr>
              <w:t>1</w:t>
            </w:r>
          </w:p>
        </w:tc>
        <w:tc>
          <w:tcPr>
            <w:tcW w:w="872" w:type="dxa"/>
            <w:vAlign w:val="center"/>
          </w:tcPr>
          <w:p>
            <w:pPr>
              <w:spacing w:line="360" w:lineRule="auto"/>
              <w:jc w:val="center"/>
              <w:rPr>
                <w:rFonts w:ascii="宋体" w:hAnsi="宋体"/>
              </w:rPr>
            </w:pPr>
            <w:r>
              <w:rPr>
                <w:rFonts w:hint="eastAsia" w:ascii="宋体" w:hAnsi="宋体" w:cs="宋体"/>
                <w:sz w:val="24"/>
                <w:szCs w:val="24"/>
                <w:lang w:val="en-US" w:eastAsia="zh-CN"/>
              </w:rPr>
              <w:t>服务器</w:t>
            </w:r>
          </w:p>
        </w:tc>
        <w:tc>
          <w:tcPr>
            <w:tcW w:w="73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1.4U机架式服务器；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sz w:val="24"/>
                <w:szCs w:val="24"/>
              </w:rPr>
            </w:pPr>
            <w:r>
              <w:rPr>
                <w:rFonts w:hint="eastAsia" w:ascii="宋体" w:hAnsi="宋体" w:cs="宋体"/>
                <w:sz w:val="24"/>
                <w:szCs w:val="24"/>
              </w:rPr>
              <w:t>★4个Intel Xeon-Gold 5218(2.3GHz/16核/22MB/125W)处理器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配置256GB DDR4-2933 (8x32 GB)内存模块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rPr>
              <w:t>4.★硬盘:配置</w:t>
            </w:r>
            <w:r>
              <w:rPr>
                <w:rFonts w:hint="eastAsia" w:ascii="宋体" w:hAnsi="宋体" w:cs="宋体"/>
                <w:sz w:val="24"/>
                <w:szCs w:val="24"/>
                <w:lang w:val="en-US" w:eastAsia="zh-CN"/>
              </w:rPr>
              <w:t>8</w:t>
            </w:r>
            <w:r>
              <w:rPr>
                <w:rFonts w:hint="eastAsia" w:ascii="宋体" w:hAnsi="宋体" w:cs="宋体"/>
                <w:sz w:val="24"/>
                <w:szCs w:val="24"/>
              </w:rPr>
              <w:t>块2.4TB SAS 10K 2.5寸硬盘；8个SFF热插拔硬盘槽位，最多扩展到48个SFF热插拔硬盘; 标配1个PCI-E Riser卡笼含6个 3.0插槽（其中一个插槽用于mLOM网卡）标配4端口千兆以太网卡(占用1个PCIe插槽),支持RAID 0/1/5/6/10/50/60/等; 主板集成 iLO Management Engine (iLO5)远程管理芯片; 7个 PCIe 插槽;</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sz w:val="24"/>
                <w:szCs w:val="24"/>
              </w:rPr>
            </w:pPr>
            <w:r>
              <w:rPr>
                <w:rFonts w:hint="eastAsia" w:ascii="宋体" w:hAnsi="宋体" w:cs="宋体"/>
                <w:sz w:val="24"/>
                <w:szCs w:val="24"/>
              </w:rPr>
              <w:t>网卡: 标配4端口千兆以太网卡(占用1个PCIe插槽)</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sz w:val="24"/>
                <w:szCs w:val="24"/>
              </w:rPr>
            </w:pPr>
            <w:r>
              <w:rPr>
                <w:rFonts w:hint="eastAsia" w:ascii="宋体" w:hAnsi="宋体" w:cs="宋体"/>
                <w:sz w:val="24"/>
                <w:szCs w:val="24"/>
              </w:rPr>
              <w:t>★配件配置4个1600W 热插拔电源，热插拔冗余;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宋体" w:hAnsi="宋体"/>
                <w:color w:val="FF0000"/>
              </w:rPr>
            </w:pPr>
            <w:r>
              <w:rPr>
                <w:rFonts w:hint="eastAsia" w:ascii="宋体" w:hAnsi="宋体" w:cs="宋体"/>
                <w:sz w:val="24"/>
                <w:szCs w:val="24"/>
                <w:lang w:val="en-US" w:eastAsia="zh-CN"/>
              </w:rPr>
              <w:t>7.</w:t>
            </w:r>
            <w:r>
              <w:rPr>
                <w:rFonts w:hint="eastAsia" w:ascii="宋体" w:hAnsi="宋体" w:cs="宋体"/>
                <w:sz w:val="24"/>
                <w:szCs w:val="24"/>
              </w:rPr>
              <w:t>★提供3年7x24小时原厂商质保服务</w:t>
            </w:r>
            <w:r>
              <w:rPr>
                <w:rFonts w:hint="eastAsia" w:ascii="宋体" w:hAnsi="宋体" w:cs="宋体"/>
                <w:sz w:val="24"/>
                <w:szCs w:val="24"/>
                <w:lang w:val="en-US" w:eastAsia="zh-CN"/>
              </w:rPr>
              <w:t>.</w:t>
            </w:r>
            <w:r>
              <w:rPr>
                <w:rFonts w:hint="eastAsia" w:ascii="宋体" w:hAnsi="宋体" w:cs="宋体"/>
                <w:sz w:val="24"/>
                <w:szCs w:val="24"/>
              </w:rPr>
              <w:t>投标时提供原厂售后服务承诺函原件并加盖原厂章，或投标时承诺中标后五日内提供。</w:t>
            </w:r>
          </w:p>
        </w:tc>
        <w:tc>
          <w:tcPr>
            <w:tcW w:w="14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推荐品牌：联想、华三、浪潮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572" w:hRule="atLeast"/>
        </w:trPr>
        <w:tc>
          <w:tcPr>
            <w:tcW w:w="789" w:type="dxa"/>
            <w:vAlign w:val="center"/>
          </w:tcPr>
          <w:p>
            <w:pPr>
              <w:numPr>
                <w:ilvl w:val="0"/>
                <w:numId w:val="0"/>
              </w:numPr>
              <w:spacing w:line="360" w:lineRule="auto"/>
              <w:ind w:left="405" w:leftChars="0"/>
              <w:jc w:val="left"/>
              <w:rPr>
                <w:rFonts w:hint="default" w:ascii="宋体" w:hAnsi="宋体"/>
                <w:lang w:val="en-US"/>
              </w:rPr>
            </w:pPr>
            <w:r>
              <w:rPr>
                <w:rFonts w:hint="default" w:ascii="宋体" w:hAnsi="宋体"/>
                <w:lang w:val="en-US"/>
              </w:rPr>
              <w:t>2</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rPr>
            </w:pPr>
            <w:r>
              <w:rPr>
                <w:rFonts w:hint="eastAsia" w:ascii="宋体" w:hAnsi="宋体" w:cs="宋体"/>
                <w:sz w:val="24"/>
                <w:szCs w:val="24"/>
                <w:lang w:eastAsia="zh-CN"/>
              </w:rPr>
              <w:t>磁盘阵列硬盘</w:t>
            </w:r>
          </w:p>
        </w:tc>
        <w:tc>
          <w:tcPr>
            <w:tcW w:w="7368"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val="en-US" w:eastAsia="zh-CN"/>
              </w:rPr>
            </w:pPr>
            <w:r>
              <w:rPr>
                <w:rFonts w:hint="default" w:ascii="宋体" w:hAnsi="宋体" w:cs="宋体"/>
                <w:sz w:val="24"/>
                <w:szCs w:val="24"/>
                <w:lang w:val="en-US" w:eastAsia="zh-CN"/>
              </w:rPr>
              <w:t>1.</w:t>
            </w:r>
            <w:r>
              <w:rPr>
                <w:rFonts w:hint="eastAsia" w:ascii="宋体" w:hAnsi="宋体" w:cs="宋体"/>
                <w:sz w:val="24"/>
                <w:szCs w:val="24"/>
                <w:lang w:val="en-US" w:eastAsia="zh-CN"/>
              </w:rPr>
              <w:t>EMC2 VNX5100原装硬盘1块，SAS 600GB 15k,EMC PN:005049274,SN:FCNHD122106231  520BPS</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rPr>
            </w:pPr>
            <w:r>
              <w:rPr>
                <w:rFonts w:hint="default" w:ascii="宋体" w:hAnsi="宋体" w:cs="宋体"/>
                <w:sz w:val="24"/>
                <w:szCs w:val="24"/>
                <w:lang w:val="en-US"/>
              </w:rPr>
              <w:t>2.</w:t>
            </w:r>
            <w:r>
              <w:rPr>
                <w:rFonts w:hint="eastAsia" w:ascii="宋体" w:hAnsi="宋体" w:cs="宋体"/>
                <w:sz w:val="24"/>
                <w:szCs w:val="24"/>
              </w:rPr>
              <w:t>★</w:t>
            </w:r>
            <w:r>
              <w:rPr>
                <w:rFonts w:hint="eastAsia" w:ascii="宋体" w:hAnsi="宋体" w:cs="宋体"/>
                <w:sz w:val="24"/>
                <w:szCs w:val="24"/>
                <w:lang w:val="en-US" w:eastAsia="zh-CN"/>
              </w:rPr>
              <w:t>提供一年质保承诺,投标时承诺中标后提供原厂服务承诺函。</w:t>
            </w:r>
          </w:p>
        </w:tc>
        <w:tc>
          <w:tcPr>
            <w:tcW w:w="14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配件</w:t>
            </w:r>
          </w:p>
        </w:tc>
      </w:tr>
    </w:tbl>
    <w:p>
      <w:pPr>
        <w:pStyle w:val="11"/>
        <w:numPr>
          <w:ilvl w:val="0"/>
          <w:numId w:val="0"/>
        </w:numPr>
        <w:spacing w:line="500" w:lineRule="exact"/>
        <w:ind w:firstLine="480" w:firstLineChars="200"/>
        <w:rPr>
          <w:rFonts w:hint="eastAsia" w:hAnsi="宋体"/>
          <w:sz w:val="24"/>
          <w:szCs w:val="22"/>
        </w:rPr>
      </w:pPr>
      <w:r>
        <w:rPr>
          <w:rFonts w:hint="eastAsia" w:hAnsi="宋体"/>
          <w:sz w:val="24"/>
          <w:szCs w:val="22"/>
          <w:lang w:eastAsia="zh-CN"/>
        </w:rPr>
        <w:t>备注：</w:t>
      </w:r>
      <w:r>
        <w:rPr>
          <w:rFonts w:hint="eastAsia" w:hAnsi="宋体"/>
          <w:sz w:val="24"/>
          <w:szCs w:val="22"/>
        </w:rPr>
        <w:t>以上清单中所列品牌</w:t>
      </w:r>
      <w:r>
        <w:rPr>
          <w:rFonts w:hint="eastAsia" w:hAnsi="宋体"/>
          <w:sz w:val="24"/>
          <w:szCs w:val="22"/>
          <w:lang w:eastAsia="zh-CN"/>
        </w:rPr>
        <w:t>（磁盘阵列硬盘除外）</w:t>
      </w:r>
      <w:r>
        <w:rPr>
          <w:rFonts w:hint="eastAsia" w:hAnsi="宋体"/>
          <w:sz w:val="24"/>
          <w:szCs w:val="22"/>
        </w:rPr>
        <w:t>为参考品牌，不作为指定</w:t>
      </w:r>
      <w:bookmarkStart w:id="2" w:name="_GoBack"/>
      <w:bookmarkEnd w:id="2"/>
      <w:r>
        <w:rPr>
          <w:rFonts w:hint="eastAsia" w:hAnsi="宋体"/>
          <w:sz w:val="24"/>
          <w:szCs w:val="22"/>
        </w:rPr>
        <w:t>品牌，投标人可以自行选择其它品牌报价，但各投标单位必须在投标文件中提供相关证明材料证明所报产品品质、档次、性能、技术参数不低于或相当于参考品牌。</w:t>
      </w:r>
    </w:p>
    <w:p>
      <w:pPr>
        <w:pStyle w:val="11"/>
        <w:numPr>
          <w:ilvl w:val="0"/>
          <w:numId w:val="0"/>
        </w:numPr>
        <w:spacing w:line="500" w:lineRule="exact"/>
        <w:ind w:firstLine="480" w:firstLineChars="200"/>
        <w:rPr>
          <w:rFonts w:hint="default" w:hAnsi="宋体"/>
          <w:sz w:val="24"/>
          <w:szCs w:val="22"/>
          <w:lang w:val="en-US"/>
        </w:rPr>
      </w:pPr>
    </w:p>
    <w:p>
      <w:pPr>
        <w:pStyle w:val="3"/>
        <w:pageBreakBefore w:val="0"/>
        <w:kinsoku/>
        <w:wordWrap/>
        <w:overflowPunct/>
        <w:topLinePunct w:val="0"/>
        <w:autoSpaceDE/>
        <w:autoSpaceDN/>
        <w:bidi w:val="0"/>
        <w:adjustRightInd/>
        <w:snapToGrid/>
        <w:spacing w:line="500" w:lineRule="exact"/>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技术</w:t>
      </w:r>
      <w:r>
        <w:rPr>
          <w:rFonts w:hint="eastAsia" w:ascii="宋体" w:hAnsi="宋体" w:eastAsia="宋体"/>
          <w:sz w:val="24"/>
          <w:szCs w:val="24"/>
          <w:lang w:eastAsia="zh-CN"/>
        </w:rPr>
        <w:t>服务</w:t>
      </w:r>
      <w:r>
        <w:rPr>
          <w:rFonts w:hint="eastAsia" w:ascii="宋体" w:hAnsi="宋体" w:eastAsia="宋体"/>
          <w:sz w:val="24"/>
          <w:szCs w:val="24"/>
        </w:rPr>
        <w:t>要求</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1、完成本次新购服务器的安装调试，服务器操作系统按照采购人要求进行安装；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、监控运维服务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lang w:val="en-US" w:eastAsia="zh-CN"/>
        </w:rPr>
        <w:t>2.1</w:t>
      </w:r>
      <w:r>
        <w:rPr>
          <w:rFonts w:hint="eastAsia" w:ascii="宋体" w:hAnsi="宋体" w:cs="宋体"/>
          <w:sz w:val="24"/>
          <w:szCs w:val="24"/>
        </w:rPr>
        <w:t>主机系统管理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对Windows、Linux、AIX、HP-UX、Solaris、neokylin等操作系统的监控；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硬件管理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lang w:eastAsia="zh-CN"/>
        </w:rPr>
      </w:pPr>
      <w:r>
        <w:rPr>
          <w:rFonts w:hint="eastAsia" w:ascii="宋体" w:hAnsi="宋体" w:cs="宋体"/>
          <w:sz w:val="24"/>
          <w:szCs w:val="24"/>
        </w:rPr>
        <w:t>支持主流服务器等硬件监控，监控指标包括电源状态、电源状态、硬盘</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sz w:val="24"/>
          <w:szCs w:val="24"/>
          <w:lang w:val="en-US" w:eastAsia="zh-CN"/>
        </w:rPr>
      </w:pPr>
      <w:r>
        <w:rPr>
          <w:rFonts w:hint="default" w:ascii="Calibri" w:hAnsi="Calibri" w:cs="Calibri"/>
          <w:sz w:val="24"/>
          <w:szCs w:val="24"/>
          <w:lang w:val="en-US" w:eastAsia="zh-CN"/>
        </w:rPr>
        <w:t>①</w:t>
      </w:r>
      <w:r>
        <w:rPr>
          <w:rFonts w:hint="eastAsia" w:ascii="宋体" w:hAnsi="宋体" w:cs="宋体"/>
          <w:sz w:val="24"/>
          <w:szCs w:val="24"/>
          <w:lang w:val="en-US" w:eastAsia="zh-CN"/>
        </w:rPr>
        <w:t>EMC存储硬盘的更换及相关工作。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sz w:val="24"/>
          <w:szCs w:val="24"/>
          <w:lang w:val="en-US" w:eastAsia="zh-CN"/>
        </w:rPr>
      </w:pPr>
      <w:r>
        <w:rPr>
          <w:rFonts w:hint="default" w:ascii="Calibri" w:hAnsi="Calibri" w:cs="Calibri"/>
          <w:sz w:val="24"/>
          <w:szCs w:val="24"/>
          <w:lang w:val="en-US" w:eastAsia="zh-CN"/>
        </w:rPr>
        <w:t>②</w:t>
      </w:r>
      <w:r>
        <w:rPr>
          <w:rFonts w:hint="eastAsia" w:ascii="宋体" w:hAnsi="宋体" w:cs="宋体"/>
          <w:sz w:val="24"/>
          <w:szCs w:val="24"/>
          <w:lang w:val="en-US" w:eastAsia="zh-CN"/>
        </w:rPr>
        <w:t>服务器质保期内，每年不少于一次现场巡检，并出具巡检报告。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sz w:val="24"/>
          <w:szCs w:val="24"/>
          <w:lang w:val="en-US" w:eastAsia="zh-CN"/>
        </w:rPr>
      </w:pPr>
    </w:p>
    <w:p>
      <w:pPr>
        <w:pStyle w:val="4"/>
        <w:jc w:val="left"/>
        <w:rPr>
          <w:rFonts w:hint="eastAsia" w:ascii="宋体" w:hAnsi="宋体" w:cs="宋体"/>
          <w:b w:val="0"/>
          <w:bCs w:val="0"/>
          <w:szCs w:val="21"/>
        </w:rPr>
      </w:pPr>
      <w:r>
        <w:rPr>
          <w:rFonts w:ascii="宋体" w:hAnsi="宋体" w:cs="宋体"/>
          <w:bCs w:val="0"/>
          <w:szCs w:val="21"/>
        </w:rPr>
        <w:br w:type="page"/>
      </w:r>
      <w:bookmarkStart w:id="1" w:name="_Toc13090"/>
      <w:r>
        <w:rPr>
          <w:rStyle w:val="10"/>
          <w:rFonts w:hint="eastAsia" w:ascii="宋体" w:cs="宋体"/>
          <w:sz w:val="30"/>
          <w:szCs w:val="30"/>
          <w:shd w:val="clear" w:color="auto" w:fill="FFFFFF"/>
        </w:rPr>
        <w:t>二、商务要求</w:t>
      </w:r>
      <w:bookmarkEnd w:id="1"/>
    </w:p>
    <w:p>
      <w:pPr>
        <w:rPr>
          <w:rFonts w:ascii="宋体" w:hAnsi="宋体" w:cs="宋体"/>
          <w:b/>
          <w:bCs/>
          <w:szCs w:val="21"/>
        </w:rPr>
      </w:pPr>
      <w:r>
        <w:rPr>
          <w:rFonts w:hint="eastAsia" w:ascii="宋体" w:hAnsi="宋体" w:cs="宋体"/>
          <w:b/>
          <w:bCs/>
          <w:szCs w:val="21"/>
        </w:rPr>
        <w:t xml:space="preserve">         </w:t>
      </w:r>
    </w:p>
    <w:tbl>
      <w:tblPr>
        <w:tblStyle w:val="6"/>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 w:type="dxa"/>
            <w:noWrap w:val="0"/>
            <w:vAlign w:val="center"/>
          </w:tcPr>
          <w:p>
            <w:pPr>
              <w:jc w:val="center"/>
              <w:rPr>
                <w:rFonts w:ascii="宋体" w:hAnsi="宋体" w:cs="宋体"/>
                <w:b/>
                <w:bCs/>
                <w:szCs w:val="21"/>
              </w:rPr>
            </w:pPr>
            <w:r>
              <w:rPr>
                <w:rFonts w:hint="eastAsia" w:ascii="宋体" w:hAnsi="宋体" w:cs="宋体"/>
                <w:b/>
                <w:bCs/>
                <w:szCs w:val="21"/>
              </w:rPr>
              <w:t>序号</w:t>
            </w:r>
          </w:p>
        </w:tc>
        <w:tc>
          <w:tcPr>
            <w:tcW w:w="1701"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294"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294" w:type="dxa"/>
            <w:noWrap w:val="0"/>
            <w:vAlign w:val="center"/>
          </w:tcPr>
          <w:p>
            <w:pPr>
              <w:spacing w:line="500" w:lineRule="exact"/>
              <w:rPr>
                <w:rFonts w:ascii="宋体" w:hAnsi="宋体" w:cs="宋体"/>
                <w:b/>
                <w:bCs/>
                <w:szCs w:val="21"/>
              </w:rPr>
            </w:pPr>
            <w:r>
              <w:rPr>
                <w:rFonts w:hint="eastAsia" w:ascii="宋体" w:hAnsi="宋体"/>
                <w:szCs w:val="21"/>
                <w:lang w:eastAsia="zh-CN"/>
              </w:rPr>
              <w:t>歙县人民医院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供货完成时限</w:t>
            </w:r>
          </w:p>
        </w:tc>
        <w:tc>
          <w:tcPr>
            <w:tcW w:w="6294" w:type="dxa"/>
            <w:noWrap w:val="0"/>
            <w:vAlign w:val="center"/>
          </w:tcPr>
          <w:p>
            <w:pPr>
              <w:spacing w:line="500" w:lineRule="exact"/>
              <w:rPr>
                <w:rFonts w:hint="eastAsia" w:ascii="宋体" w:hAnsi="宋体" w:cs="宋体"/>
                <w:b/>
                <w:bCs/>
                <w:szCs w:val="21"/>
              </w:rPr>
            </w:pPr>
            <w:r>
              <w:rPr>
                <w:rFonts w:hint="eastAsia" w:ascii="宋体" w:hAnsi="宋体"/>
                <w:color w:val="auto"/>
                <w:szCs w:val="21"/>
              </w:rPr>
              <w:t>合同签订后</w:t>
            </w:r>
            <w:r>
              <w:rPr>
                <w:rFonts w:ascii="宋体" w:hAnsi="宋体"/>
                <w:color w:val="auto"/>
                <w:szCs w:val="21"/>
              </w:rPr>
              <w:t>3</w:t>
            </w:r>
            <w:r>
              <w:rPr>
                <w:rFonts w:ascii="宋体"/>
                <w:color w:val="auto"/>
                <w:szCs w:val="21"/>
              </w:rPr>
              <w:t>0</w:t>
            </w:r>
            <w:r>
              <w:rPr>
                <w:rFonts w:hint="eastAsia" w:ascii="宋体" w:hAnsi="宋体"/>
                <w:color w:val="auto"/>
                <w:szCs w:val="21"/>
              </w:rPr>
              <w:t>天内送达采购人指定地点，并</w:t>
            </w:r>
            <w:r>
              <w:rPr>
                <w:rFonts w:hint="eastAsia" w:ascii="宋体" w:hAnsi="宋体"/>
                <w:color w:val="auto"/>
                <w:szCs w:val="21"/>
                <w:lang w:eastAsia="zh-CN"/>
              </w:rPr>
              <w:t>完成</w:t>
            </w:r>
            <w:r>
              <w:rPr>
                <w:rFonts w:hint="eastAsia" w:ascii="宋体" w:hAnsi="宋体"/>
                <w:color w:val="auto"/>
                <w:szCs w:val="21"/>
              </w:rPr>
              <w:t>安装</w:t>
            </w:r>
            <w:r>
              <w:rPr>
                <w:rFonts w:hint="eastAsia" w:ascii="宋体" w:hAnsi="宋体"/>
                <w:color w:val="auto"/>
                <w:szCs w:val="21"/>
                <w:lang w:eastAsia="zh-CN"/>
              </w:rPr>
              <w:t>与</w:t>
            </w:r>
            <w:r>
              <w:rPr>
                <w:rFonts w:hint="eastAsia" w:ascii="宋体" w:hAnsi="宋体"/>
                <w:color w:val="auto"/>
                <w:szCs w:val="21"/>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3</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货物包装运输要求</w:t>
            </w:r>
          </w:p>
        </w:tc>
        <w:tc>
          <w:tcPr>
            <w:tcW w:w="6294" w:type="dxa"/>
            <w:noWrap w:val="0"/>
            <w:vAlign w:val="center"/>
          </w:tcPr>
          <w:p>
            <w:pPr>
              <w:spacing w:line="500" w:lineRule="exact"/>
              <w:rPr>
                <w:rFonts w:hint="eastAsia" w:ascii="宋体" w:hAnsi="宋体" w:cs="宋体"/>
                <w:b/>
                <w:bCs/>
                <w:szCs w:val="21"/>
              </w:rPr>
            </w:pPr>
            <w:r>
              <w:rPr>
                <w:rFonts w:hint="eastAsia" w:ascii="宋体" w:hAnsi="宋体"/>
                <w:szCs w:val="21"/>
              </w:rPr>
              <w:t>除合同另有规定外，成交人提供的全部货物均应按标准保护措施进行包装</w:t>
            </w:r>
            <w:r>
              <w:rPr>
                <w:rFonts w:hint="eastAsia" w:ascii="宋体" w:hAnsi="宋体"/>
                <w:szCs w:val="21"/>
                <w:lang w:eastAsia="zh-CN"/>
              </w:rPr>
              <w:t>，</w:t>
            </w:r>
            <w:r>
              <w:rPr>
                <w:rFonts w:hint="eastAsia" w:ascii="宋体" w:hAnsi="宋体"/>
                <w:szCs w:val="21"/>
              </w:rPr>
              <w:t>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noWrap w:val="0"/>
            <w:vAlign w:val="center"/>
          </w:tcPr>
          <w:p>
            <w:pPr>
              <w:spacing w:line="500" w:lineRule="exact"/>
              <w:rPr>
                <w:rFonts w:hint="eastAsia" w:ascii="宋体" w:hAnsi="宋体" w:eastAsia="宋体" w:cs="宋体"/>
                <w:b/>
                <w:bCs/>
                <w:szCs w:val="21"/>
                <w:lang w:eastAsia="zh-CN"/>
              </w:rPr>
            </w:pPr>
            <w:r>
              <w:rPr>
                <w:rFonts w:hint="eastAsia" w:ascii="宋体" w:hAnsi="宋体" w:cs="宋体"/>
                <w:b w:val="0"/>
                <w:bCs w:val="0"/>
                <w:szCs w:val="21"/>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5</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noWrap w:val="0"/>
            <w:vAlign w:val="center"/>
          </w:tcPr>
          <w:p>
            <w:pPr>
              <w:spacing w:line="500" w:lineRule="exact"/>
              <w:rPr>
                <w:rFonts w:ascii="宋体" w:hAnsi="宋体" w:cs="宋体"/>
                <w:b/>
                <w:bCs/>
                <w:szCs w:val="21"/>
              </w:rPr>
            </w:pPr>
            <w:r>
              <w:rPr>
                <w:rFonts w:hint="eastAsia" w:ascii="宋体" w:hAnsi="宋体" w:cs="宋体"/>
                <w:b w:val="0"/>
                <w:bCs w:val="0"/>
                <w:szCs w:val="21"/>
                <w:lang w:val="en-US" w:eastAsia="zh-CN"/>
              </w:rPr>
              <w:t>合格</w:t>
            </w:r>
            <w:r>
              <w:rPr>
                <w:rFonts w:hint="eastAsia" w:ascii="宋体" w:hAnsi="宋体" w:cs="宋体"/>
                <w:b w:val="0"/>
                <w:bCs w:val="0"/>
                <w:szCs w:val="21"/>
                <w:lang w:eastAsia="zh-CN"/>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6</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6294" w:type="dxa"/>
            <w:noWrap w:val="0"/>
            <w:vAlign w:val="center"/>
          </w:tcPr>
          <w:p>
            <w:pPr>
              <w:spacing w:line="500" w:lineRule="exact"/>
              <w:rPr>
                <w:rFonts w:ascii="宋体" w:hAnsi="宋体" w:cs="宋体"/>
                <w:b/>
                <w:bCs/>
                <w:szCs w:val="21"/>
              </w:rPr>
            </w:pPr>
            <w:r>
              <w:rPr>
                <w:rFonts w:hint="eastAsia" w:ascii="宋体" w:hAnsi="宋体" w:cs="宋体"/>
                <w:b/>
                <w:bCs/>
                <w:szCs w:val="21"/>
              </w:rPr>
              <w:t>付款人：</w:t>
            </w:r>
            <w:r>
              <w:rPr>
                <w:rFonts w:hint="eastAsia" w:ascii="宋体" w:hAnsi="宋体"/>
                <w:szCs w:val="21"/>
                <w:lang w:eastAsia="zh-CN"/>
              </w:rPr>
              <w:t>歙县人民医院</w:t>
            </w:r>
            <w:r>
              <w:rPr>
                <w:rFonts w:hint="eastAsia" w:ascii="宋体" w:hAnsi="宋体" w:cs="宋体"/>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ascii="宋体" w:hAnsi="宋体" w:cs="宋体"/>
                <w:b/>
                <w:bCs/>
                <w:szCs w:val="21"/>
              </w:rPr>
            </w:pPr>
            <w:r>
              <w:rPr>
                <w:rFonts w:hint="eastAsia" w:ascii="宋体" w:hAnsi="宋体" w:cs="宋体"/>
                <w:b/>
                <w:bCs/>
                <w:szCs w:val="21"/>
              </w:rPr>
              <w:t>付款方式：</w:t>
            </w:r>
            <w:r>
              <w:rPr>
                <w:rFonts w:hint="eastAsia" w:ascii="宋体" w:hAnsi="宋体" w:cs="宋体"/>
                <w:sz w:val="24"/>
                <w:szCs w:val="24"/>
                <w:lang w:val="en-US" w:eastAsia="zh-CN"/>
              </w:rPr>
              <w:t>设备安装调试完成及验收合格后支付合同款90%，质保满一年后支付合同款10%。</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8</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6294" w:type="dxa"/>
            <w:noWrap w:val="0"/>
            <w:vAlign w:val="center"/>
          </w:tcPr>
          <w:p>
            <w:pPr>
              <w:spacing w:line="500" w:lineRule="exact"/>
              <w:rPr>
                <w:rFonts w:hint="eastAsia" w:ascii="宋体" w:hAnsi="宋体" w:cs="宋体"/>
                <w:b/>
                <w:bCs/>
                <w:szCs w:val="21"/>
              </w:rPr>
            </w:pPr>
            <w:r>
              <w:rPr>
                <w:rFonts w:hint="eastAsia" w:ascii="宋体" w:hAnsi="宋体" w:cs="宋体"/>
                <w:b w:val="0"/>
                <w:bCs w:val="0"/>
                <w:color w:val="auto"/>
                <w:szCs w:val="21"/>
                <w:lang w:val="en-US" w:eastAsia="zh-CN"/>
              </w:rPr>
              <w:t xml:space="preserve">合同金额的 </w:t>
            </w:r>
            <w:r>
              <w:rPr>
                <w:rFonts w:hint="eastAsia" w:ascii="宋体" w:hAnsi="宋体" w:cs="宋体"/>
                <w:b w:val="0"/>
                <w:bCs w:val="0"/>
                <w:color w:val="auto"/>
                <w:szCs w:val="21"/>
                <w:u w:val="single"/>
                <w:lang w:val="en-US" w:eastAsia="zh-CN"/>
              </w:rPr>
              <w:t xml:space="preserve">    </w:t>
            </w:r>
            <w:r>
              <w:rPr>
                <w:rFonts w:hint="default" w:ascii="宋体" w:hAnsi="宋体" w:cs="宋体"/>
                <w:b w:val="0"/>
                <w:bCs w:val="0"/>
                <w:color w:val="auto"/>
                <w:szCs w:val="21"/>
                <w:u w:val="single"/>
                <w:lang w:val="en-US" w:eastAsia="zh-CN"/>
              </w:rPr>
              <w:t>/</w:t>
            </w:r>
            <w:r>
              <w:rPr>
                <w:rFonts w:hint="eastAsia" w:ascii="宋体" w:hAnsi="宋体" w:cs="宋体"/>
                <w:b w:val="0"/>
                <w:bCs w:val="0"/>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9</w:t>
            </w:r>
          </w:p>
        </w:tc>
        <w:tc>
          <w:tcPr>
            <w:tcW w:w="1701"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eastAsia="zh-CN"/>
              </w:rPr>
              <w:t>其他</w:t>
            </w:r>
          </w:p>
        </w:tc>
        <w:tc>
          <w:tcPr>
            <w:tcW w:w="62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b w:val="0"/>
                <w:bCs w:val="0"/>
                <w:color w:val="FF0000"/>
                <w:szCs w:val="21"/>
                <w:lang w:val="en-US" w:eastAsia="zh-CN"/>
              </w:rPr>
            </w:pPr>
            <w:r>
              <w:rPr>
                <w:rFonts w:hint="eastAsia" w:ascii="宋体" w:hAnsi="宋体" w:cs="宋体"/>
                <w:sz w:val="24"/>
                <w:szCs w:val="24"/>
                <w:lang w:val="en-US" w:eastAsia="zh-CN"/>
              </w:rPr>
              <w:t>磁盘阵列硬盘、运输、安装调试、税收等纳入服务器一并报价，本采购只有服务器一项报价，服务器报价之外的报价为无效报价。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B75DC"/>
    <w:multiLevelType w:val="singleLevel"/>
    <w:tmpl w:val="EFCB75DC"/>
    <w:lvl w:ilvl="0" w:tentative="0">
      <w:start w:val="5"/>
      <w:numFmt w:val="decimal"/>
      <w:lvlText w:val="%1."/>
      <w:lvlJc w:val="left"/>
      <w:pPr>
        <w:tabs>
          <w:tab w:val="left" w:pos="312"/>
        </w:tabs>
      </w:pPr>
    </w:lvl>
  </w:abstractNum>
  <w:abstractNum w:abstractNumId="1">
    <w:nsid w:val="61756BAA"/>
    <w:multiLevelType w:val="singleLevel"/>
    <w:tmpl w:val="61756BAA"/>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77D1E"/>
    <w:rsid w:val="45577D1E"/>
    <w:rsid w:val="4BEA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Arial" w:eastAsia="仿宋_GB2312"/>
      <w:kern w:val="0"/>
      <w:sz w:val="32"/>
      <w:szCs w:val="32"/>
    </w:rPr>
  </w:style>
  <w:style w:type="paragraph" w:styleId="4">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5">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customStyle="1" w:styleId="8">
    <w:name w:val="H1"/>
    <w:basedOn w:val="5"/>
    <w:next w:val="9"/>
    <w:qFormat/>
    <w:uiPriority w:val="0"/>
    <w:pPr>
      <w:spacing w:line="560" w:lineRule="exact"/>
      <w:jc w:val="left"/>
    </w:pPr>
    <w:rPr>
      <w:rFonts w:ascii="宋体" w:hAnsi="宋体" w:cs="宋体"/>
      <w:bCs w:val="0"/>
      <w:color w:val="000000"/>
    </w:rPr>
  </w:style>
  <w:style w:type="paragraph" w:customStyle="1" w:styleId="9">
    <w:name w:val="GW-正文"/>
    <w:basedOn w:val="1"/>
    <w:qFormat/>
    <w:uiPriority w:val="0"/>
    <w:pPr>
      <w:spacing w:line="360" w:lineRule="auto"/>
      <w:ind w:firstLine="200" w:firstLineChars="200"/>
      <w:contextualSpacing/>
    </w:pPr>
    <w:rPr>
      <w:szCs w:val="24"/>
    </w:rPr>
  </w:style>
  <w:style w:type="character" w:customStyle="1" w:styleId="10">
    <w:name w:val="apple-converted-space"/>
    <w:qFormat/>
    <w:uiPriority w:val="99"/>
    <w:rPr>
      <w:rFonts w:cs="Times New Roman"/>
    </w:rPr>
  </w:style>
  <w:style w:type="paragraph" w:customStyle="1" w:styleId="11">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2020-10-09T01:30:00Z</dcterms:created>
  <dc:creator>未定义</dc:creator>
  <cp:lastModifiedBy>天都蜂</cp:lastModifiedBy>
  <dcterms:modified xsi:type="dcterms:W3CDTF">2020-10-09T01:41:56Z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